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10" w:rsidRPr="00194AA6" w:rsidRDefault="00193F10" w:rsidP="00194AA6">
      <w:pPr>
        <w:jc w:val="center"/>
        <w:rPr>
          <w:sz w:val="22"/>
          <w:szCs w:val="22"/>
        </w:rPr>
      </w:pPr>
    </w:p>
    <w:p w:rsidR="00193F10" w:rsidRDefault="00114ACE" w:rsidP="00194AA6">
      <w:pPr>
        <w:jc w:val="center"/>
      </w:pPr>
      <w:r>
        <w:rPr>
          <w:noProof/>
        </w:rPr>
        <w:drawing>
          <wp:inline distT="0" distB="0" distL="0" distR="0">
            <wp:extent cx="1717675" cy="1121410"/>
            <wp:effectExtent l="1905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cstate="print"/>
                    <a:srcRect/>
                    <a:stretch>
                      <a:fillRect/>
                    </a:stretch>
                  </pic:blipFill>
                  <pic:spPr bwMode="auto">
                    <a:xfrm>
                      <a:off x="0" y="0"/>
                      <a:ext cx="1717675" cy="1121410"/>
                    </a:xfrm>
                    <a:prstGeom prst="rect">
                      <a:avLst/>
                    </a:prstGeom>
                    <a:noFill/>
                    <a:ln w="9525">
                      <a:noFill/>
                      <a:miter lim="800000"/>
                      <a:headEnd/>
                      <a:tailEnd/>
                    </a:ln>
                  </pic:spPr>
                </pic:pic>
              </a:graphicData>
            </a:graphic>
          </wp:inline>
        </w:drawing>
      </w:r>
    </w:p>
    <w:p w:rsidR="001771DC" w:rsidRPr="00194AA6" w:rsidRDefault="001771DC" w:rsidP="00194AA6">
      <w:pPr>
        <w:jc w:val="center"/>
        <w:rPr>
          <w:sz w:val="22"/>
          <w:szCs w:val="22"/>
        </w:rPr>
      </w:pPr>
    </w:p>
    <w:p w:rsidR="00193F10" w:rsidRPr="004E6565" w:rsidRDefault="00193F10" w:rsidP="00194AA6">
      <w:pPr>
        <w:pStyle w:val="Heading3"/>
        <w:rPr>
          <w:b/>
          <w:sz w:val="32"/>
          <w:szCs w:val="32"/>
        </w:rPr>
      </w:pPr>
      <w:r w:rsidRPr="004E6565">
        <w:rPr>
          <w:b/>
          <w:sz w:val="32"/>
          <w:szCs w:val="32"/>
        </w:rPr>
        <w:t>TECHNICAL EVALUATION</w:t>
      </w:r>
    </w:p>
    <w:p w:rsidR="00193F10" w:rsidRPr="004E6565" w:rsidRDefault="00193F10" w:rsidP="00194AA6">
      <w:pPr>
        <w:jc w:val="center"/>
        <w:rPr>
          <w:b/>
          <w:sz w:val="32"/>
          <w:szCs w:val="32"/>
        </w:rPr>
      </w:pPr>
      <w:r w:rsidRPr="004E6565">
        <w:rPr>
          <w:b/>
          <w:sz w:val="32"/>
          <w:szCs w:val="32"/>
        </w:rPr>
        <w:t>&amp;</w:t>
      </w:r>
    </w:p>
    <w:p w:rsidR="00193F10" w:rsidRPr="004E6565" w:rsidRDefault="00193F10" w:rsidP="004E6565">
      <w:pPr>
        <w:spacing w:after="480"/>
        <w:jc w:val="center"/>
        <w:rPr>
          <w:b/>
          <w:sz w:val="32"/>
          <w:szCs w:val="32"/>
        </w:rPr>
      </w:pPr>
      <w:r w:rsidRPr="004E6565">
        <w:rPr>
          <w:b/>
          <w:sz w:val="32"/>
          <w:szCs w:val="32"/>
        </w:rPr>
        <w:t>PRELIMINARY DETERMINATION</w:t>
      </w:r>
    </w:p>
    <w:p w:rsidR="00194AA6" w:rsidRPr="00194AA6" w:rsidRDefault="00194AA6" w:rsidP="00194AA6">
      <w:pPr>
        <w:pStyle w:val="Heading4"/>
        <w:spacing w:after="120"/>
        <w:rPr>
          <w:bCs/>
          <w:szCs w:val="22"/>
        </w:rPr>
      </w:pPr>
      <w:r w:rsidRPr="00194AA6">
        <w:rPr>
          <w:bCs/>
          <w:szCs w:val="22"/>
        </w:rPr>
        <w:t>APPLICANT</w:t>
      </w:r>
    </w:p>
    <w:p w:rsidR="00194AA6" w:rsidRDefault="0060062E" w:rsidP="00194AA6">
      <w:pPr>
        <w:widowControl w:val="0"/>
        <w:jc w:val="center"/>
        <w:rPr>
          <w:sz w:val="22"/>
          <w:szCs w:val="22"/>
        </w:rPr>
      </w:pPr>
      <w:r>
        <w:rPr>
          <w:sz w:val="22"/>
          <w:szCs w:val="22"/>
        </w:rPr>
        <w:t xml:space="preserve">Georgia Pacific </w:t>
      </w:r>
      <w:r w:rsidR="00CA3932">
        <w:rPr>
          <w:sz w:val="22"/>
          <w:szCs w:val="22"/>
        </w:rPr>
        <w:t>Consumer Operations, LLC</w:t>
      </w:r>
    </w:p>
    <w:p w:rsidR="00194AA6" w:rsidRPr="004665E5" w:rsidRDefault="004665E5" w:rsidP="00194AA6">
      <w:pPr>
        <w:widowControl w:val="0"/>
        <w:jc w:val="center"/>
        <w:rPr>
          <w:sz w:val="22"/>
          <w:szCs w:val="22"/>
        </w:rPr>
      </w:pPr>
      <w:r w:rsidRPr="004665E5">
        <w:rPr>
          <w:sz w:val="22"/>
          <w:szCs w:val="22"/>
        </w:rPr>
        <w:t>Post Office</w:t>
      </w:r>
      <w:r w:rsidR="0060062E" w:rsidRPr="004665E5">
        <w:rPr>
          <w:sz w:val="22"/>
          <w:szCs w:val="22"/>
        </w:rPr>
        <w:t xml:space="preserve"> Box 919</w:t>
      </w:r>
    </w:p>
    <w:p w:rsidR="00194AA6" w:rsidRPr="00746205" w:rsidRDefault="0060062E" w:rsidP="004E6565">
      <w:pPr>
        <w:widowControl w:val="0"/>
        <w:spacing w:after="360"/>
        <w:jc w:val="center"/>
        <w:rPr>
          <w:sz w:val="22"/>
          <w:szCs w:val="22"/>
        </w:rPr>
      </w:pPr>
      <w:r w:rsidRPr="004665E5">
        <w:rPr>
          <w:sz w:val="22"/>
          <w:szCs w:val="22"/>
        </w:rPr>
        <w:t>Palatka, FL 3217</w:t>
      </w:r>
      <w:r w:rsidR="00730EB8" w:rsidRPr="004665E5">
        <w:rPr>
          <w:sz w:val="22"/>
          <w:szCs w:val="22"/>
        </w:rPr>
        <w:t>8-0919</w:t>
      </w:r>
    </w:p>
    <w:p w:rsidR="00194AA6" w:rsidRPr="00746205" w:rsidRDefault="0060062E" w:rsidP="00194AA6">
      <w:pPr>
        <w:widowControl w:val="0"/>
        <w:jc w:val="center"/>
        <w:rPr>
          <w:sz w:val="22"/>
          <w:szCs w:val="22"/>
        </w:rPr>
      </w:pPr>
      <w:r>
        <w:rPr>
          <w:sz w:val="22"/>
          <w:szCs w:val="22"/>
        </w:rPr>
        <w:t>Palatka Mill</w:t>
      </w:r>
    </w:p>
    <w:p w:rsidR="00194AA6" w:rsidRDefault="00194AA6" w:rsidP="004E6565">
      <w:pPr>
        <w:widowControl w:val="0"/>
        <w:spacing w:after="600"/>
        <w:jc w:val="center"/>
        <w:rPr>
          <w:sz w:val="22"/>
          <w:szCs w:val="22"/>
        </w:rPr>
      </w:pPr>
      <w:r w:rsidRPr="00746205">
        <w:rPr>
          <w:sz w:val="22"/>
          <w:szCs w:val="22"/>
        </w:rPr>
        <w:t xml:space="preserve">Facility ID No. </w:t>
      </w:r>
      <w:r w:rsidR="0060062E">
        <w:rPr>
          <w:sz w:val="22"/>
          <w:szCs w:val="22"/>
        </w:rPr>
        <w:t>1070005</w:t>
      </w:r>
    </w:p>
    <w:p w:rsidR="00193F10" w:rsidRDefault="00193F10" w:rsidP="00194AA6">
      <w:pPr>
        <w:pStyle w:val="Heading4"/>
        <w:spacing w:after="120"/>
        <w:rPr>
          <w:bCs/>
        </w:rPr>
      </w:pPr>
      <w:r>
        <w:rPr>
          <w:bCs/>
        </w:rPr>
        <w:t>PROJECT</w:t>
      </w:r>
    </w:p>
    <w:p w:rsidR="00193F10" w:rsidRDefault="00193F10" w:rsidP="00194AA6">
      <w:pPr>
        <w:pStyle w:val="Heading1"/>
        <w:spacing w:after="0"/>
        <w:ind w:left="0"/>
        <w:jc w:val="center"/>
        <w:rPr>
          <w:sz w:val="22"/>
        </w:rPr>
      </w:pPr>
      <w:r w:rsidRPr="0060062E">
        <w:rPr>
          <w:sz w:val="22"/>
        </w:rPr>
        <w:t>P</w:t>
      </w:r>
      <w:r w:rsidR="00194AA6" w:rsidRPr="0060062E">
        <w:rPr>
          <w:sz w:val="22"/>
        </w:rPr>
        <w:t>roject</w:t>
      </w:r>
      <w:r w:rsidRPr="0060062E">
        <w:rPr>
          <w:sz w:val="22"/>
        </w:rPr>
        <w:t xml:space="preserve"> No. </w:t>
      </w:r>
      <w:r w:rsidR="0060062E" w:rsidRPr="0060062E">
        <w:rPr>
          <w:sz w:val="22"/>
        </w:rPr>
        <w:t>1070005-0</w:t>
      </w:r>
      <w:r w:rsidR="00C04FD1">
        <w:rPr>
          <w:sz w:val="22"/>
        </w:rPr>
        <w:t>7</w:t>
      </w:r>
      <w:r w:rsidR="004E6565">
        <w:rPr>
          <w:sz w:val="22"/>
        </w:rPr>
        <w:t>8</w:t>
      </w:r>
      <w:r w:rsidR="008603FF" w:rsidRPr="0060062E">
        <w:rPr>
          <w:sz w:val="22"/>
        </w:rPr>
        <w:t>-AC</w:t>
      </w:r>
    </w:p>
    <w:p w:rsidR="00194AA6" w:rsidRDefault="00194AA6" w:rsidP="00194AA6">
      <w:pPr>
        <w:jc w:val="center"/>
        <w:rPr>
          <w:sz w:val="22"/>
        </w:rPr>
      </w:pPr>
      <w:r w:rsidRPr="004665E5">
        <w:rPr>
          <w:sz w:val="22"/>
        </w:rPr>
        <w:t xml:space="preserve">Application for </w:t>
      </w:r>
      <w:r w:rsidR="008603FF" w:rsidRPr="004665E5">
        <w:rPr>
          <w:sz w:val="22"/>
        </w:rPr>
        <w:t xml:space="preserve">Minor Source </w:t>
      </w:r>
      <w:r w:rsidRPr="004665E5">
        <w:rPr>
          <w:sz w:val="22"/>
        </w:rPr>
        <w:t>Air Construction Permit</w:t>
      </w:r>
    </w:p>
    <w:p w:rsidR="00C04FD1" w:rsidRDefault="00C04FD1" w:rsidP="004E6565">
      <w:pPr>
        <w:spacing w:after="360"/>
        <w:jc w:val="center"/>
        <w:rPr>
          <w:sz w:val="22"/>
        </w:rPr>
      </w:pPr>
      <w:r w:rsidRPr="00C04FD1">
        <w:rPr>
          <w:sz w:val="22"/>
        </w:rPr>
        <w:t>No. 4 Combination Boiler</w:t>
      </w:r>
      <w:r w:rsidR="00767228">
        <w:rPr>
          <w:sz w:val="22"/>
        </w:rPr>
        <w:t>,</w:t>
      </w:r>
      <w:r w:rsidRPr="00C04FD1">
        <w:rPr>
          <w:sz w:val="22"/>
        </w:rPr>
        <w:t xml:space="preserve"> </w:t>
      </w:r>
      <w:r w:rsidR="004E6565">
        <w:rPr>
          <w:sz w:val="22"/>
        </w:rPr>
        <w:t xml:space="preserve">Electrostatic Precipitator </w:t>
      </w:r>
      <w:r w:rsidRPr="00C04FD1">
        <w:rPr>
          <w:sz w:val="22"/>
        </w:rPr>
        <w:t xml:space="preserve">Replacement </w:t>
      </w:r>
    </w:p>
    <w:p w:rsidR="00193F10" w:rsidRDefault="00193F10" w:rsidP="00194AA6">
      <w:pPr>
        <w:pStyle w:val="Heading4"/>
        <w:spacing w:after="120"/>
        <w:rPr>
          <w:bCs/>
        </w:rPr>
      </w:pPr>
      <w:r>
        <w:rPr>
          <w:bCs/>
        </w:rPr>
        <w:t>COUNTY</w:t>
      </w:r>
    </w:p>
    <w:p w:rsidR="00193F10" w:rsidRPr="001D487F" w:rsidRDefault="0060062E" w:rsidP="00EB50AB">
      <w:pPr>
        <w:spacing w:after="720"/>
        <w:jc w:val="center"/>
        <w:rPr>
          <w:sz w:val="22"/>
        </w:rPr>
      </w:pPr>
      <w:r>
        <w:rPr>
          <w:sz w:val="22"/>
        </w:rPr>
        <w:t>Putnam</w:t>
      </w:r>
      <w:r w:rsidR="001D1649" w:rsidRPr="001D1649">
        <w:rPr>
          <w:sz w:val="22"/>
        </w:rPr>
        <w:t xml:space="preserve"> </w:t>
      </w:r>
      <w:r w:rsidR="00193F10" w:rsidRPr="001D1649">
        <w:rPr>
          <w:sz w:val="22"/>
        </w:rPr>
        <w:t>County</w:t>
      </w:r>
      <w:r w:rsidR="001D487F">
        <w:rPr>
          <w:sz w:val="22"/>
        </w:rPr>
        <w:t>, Florida</w:t>
      </w:r>
    </w:p>
    <w:p w:rsidR="00193F10" w:rsidRDefault="00193F10" w:rsidP="00194AA6">
      <w:pPr>
        <w:pStyle w:val="Heading8"/>
        <w:jc w:val="center"/>
      </w:pPr>
      <w:r>
        <w:t>PERMITTING</w:t>
      </w:r>
      <w:r w:rsidR="001D487F">
        <w:t xml:space="preserve"> </w:t>
      </w:r>
      <w:r>
        <w:t>AUTHORITY</w:t>
      </w:r>
    </w:p>
    <w:p w:rsidR="00EB50AB" w:rsidRPr="00EB50AB" w:rsidRDefault="00EB50AB" w:rsidP="00EB50AB">
      <w:pPr>
        <w:jc w:val="center"/>
        <w:rPr>
          <w:sz w:val="22"/>
          <w:szCs w:val="22"/>
        </w:rPr>
      </w:pPr>
      <w:r w:rsidRPr="00EB50AB">
        <w:rPr>
          <w:sz w:val="22"/>
          <w:szCs w:val="22"/>
        </w:rPr>
        <w:t>Florida Department of Environmental Protection</w:t>
      </w:r>
    </w:p>
    <w:p w:rsidR="00EB50AB" w:rsidRPr="00EB50AB" w:rsidRDefault="00EB50AB" w:rsidP="00EB50AB">
      <w:pPr>
        <w:jc w:val="center"/>
        <w:rPr>
          <w:sz w:val="22"/>
          <w:szCs w:val="22"/>
        </w:rPr>
      </w:pPr>
      <w:r w:rsidRPr="00EB50AB">
        <w:rPr>
          <w:sz w:val="22"/>
          <w:szCs w:val="22"/>
        </w:rPr>
        <w:t>Division of Air Resource Management</w:t>
      </w:r>
    </w:p>
    <w:p w:rsidR="00EB50AB" w:rsidRPr="00EB50AB" w:rsidRDefault="00EB50AB" w:rsidP="00EB50AB">
      <w:pPr>
        <w:jc w:val="center"/>
        <w:rPr>
          <w:sz w:val="22"/>
          <w:szCs w:val="22"/>
        </w:rPr>
      </w:pPr>
      <w:r w:rsidRPr="00EB50AB">
        <w:rPr>
          <w:sz w:val="22"/>
          <w:szCs w:val="22"/>
        </w:rPr>
        <w:t>Office of Permitting and Compliance</w:t>
      </w:r>
    </w:p>
    <w:p w:rsidR="00EB50AB" w:rsidRPr="00EB50AB" w:rsidRDefault="00EB50AB" w:rsidP="00EB50AB">
      <w:pPr>
        <w:jc w:val="center"/>
        <w:rPr>
          <w:sz w:val="22"/>
          <w:szCs w:val="22"/>
        </w:rPr>
      </w:pPr>
      <w:r w:rsidRPr="00EB50AB">
        <w:rPr>
          <w:sz w:val="22"/>
          <w:szCs w:val="22"/>
        </w:rPr>
        <w:t>2600 Blair Stone Road, MS#5505</w:t>
      </w:r>
    </w:p>
    <w:p w:rsidR="00EB50AB" w:rsidRPr="00EB50AB" w:rsidRDefault="00EB50AB" w:rsidP="00EB50AB">
      <w:pPr>
        <w:spacing w:after="2280"/>
        <w:jc w:val="center"/>
        <w:rPr>
          <w:sz w:val="22"/>
          <w:szCs w:val="22"/>
        </w:rPr>
      </w:pPr>
      <w:smartTag w:uri="urn:schemas-microsoft-com:office:smarttags" w:element="place">
        <w:smartTag w:uri="urn:schemas-microsoft-com:office:smarttags" w:element="Street">
          <w:r w:rsidRPr="00EB50AB">
            <w:rPr>
              <w:sz w:val="22"/>
              <w:szCs w:val="22"/>
            </w:rPr>
            <w:t>Tallahassee</w:t>
          </w:r>
        </w:smartTag>
        <w:r w:rsidRPr="00EB50AB">
          <w:rPr>
            <w:sz w:val="22"/>
            <w:szCs w:val="22"/>
          </w:rPr>
          <w:t xml:space="preserve">, </w:t>
        </w:r>
        <w:smartTag w:uri="urn:schemas-microsoft-com:office:smarttags" w:element="State">
          <w:r w:rsidRPr="00EB50AB">
            <w:rPr>
              <w:sz w:val="22"/>
              <w:szCs w:val="22"/>
            </w:rPr>
            <w:t>Florida</w:t>
          </w:r>
        </w:smartTag>
        <w:r w:rsidRPr="00EB50AB">
          <w:rPr>
            <w:sz w:val="22"/>
            <w:szCs w:val="22"/>
          </w:rPr>
          <w:t xml:space="preserve">  </w:t>
        </w:r>
        <w:smartTag w:uri="urn:schemas-microsoft-com:office:smarttags" w:element="PostalCode">
          <w:r w:rsidRPr="00EB50AB">
            <w:rPr>
              <w:sz w:val="22"/>
              <w:szCs w:val="22"/>
            </w:rPr>
            <w:t>32399-2400</w:t>
          </w:r>
        </w:smartTag>
      </w:smartTag>
    </w:p>
    <w:p w:rsidR="00193F10" w:rsidRPr="001D487F" w:rsidRDefault="004E6565" w:rsidP="00194AA6">
      <w:pPr>
        <w:jc w:val="center"/>
        <w:rPr>
          <w:sz w:val="22"/>
        </w:rPr>
      </w:pPr>
      <w:r w:rsidRPr="0024738C">
        <w:rPr>
          <w:sz w:val="22"/>
        </w:rPr>
        <w:t>January</w:t>
      </w:r>
      <w:r w:rsidR="0024738C">
        <w:rPr>
          <w:sz w:val="22"/>
        </w:rPr>
        <w:t xml:space="preserve"> 3,</w:t>
      </w:r>
      <w:r w:rsidR="00330E51" w:rsidRPr="0024738C">
        <w:rPr>
          <w:sz w:val="22"/>
        </w:rPr>
        <w:t xml:space="preserve"> 201</w:t>
      </w:r>
      <w:r w:rsidR="0024738C">
        <w:rPr>
          <w:sz w:val="22"/>
        </w:rPr>
        <w:t>3</w:t>
      </w:r>
    </w:p>
    <w:p w:rsidR="00193F10" w:rsidRDefault="00193F10">
      <w:pPr>
        <w:jc w:val="center"/>
        <w:rPr>
          <w:sz w:val="22"/>
        </w:rPr>
        <w:sectPr w:rsidR="00193F10" w:rsidSect="00B80226">
          <w:pgSz w:w="12240" w:h="15840" w:code="1"/>
          <w:pgMar w:top="720" w:right="1080" w:bottom="720" w:left="1080" w:header="720" w:footer="720" w:gutter="0"/>
          <w:paperSrc w:first="15" w:other="15"/>
          <w:pgNumType w:start="1"/>
          <w:cols w:space="720"/>
        </w:sectPr>
      </w:pPr>
    </w:p>
    <w:p w:rsidR="00193F10" w:rsidRPr="00D302B8" w:rsidRDefault="00193F10" w:rsidP="009872EA">
      <w:pPr>
        <w:pStyle w:val="ListParagraph"/>
        <w:numPr>
          <w:ilvl w:val="0"/>
          <w:numId w:val="13"/>
        </w:numPr>
        <w:spacing w:before="120" w:after="120"/>
        <w:ind w:left="720" w:hanging="720"/>
        <w:contextualSpacing w:val="0"/>
        <w:rPr>
          <w:rFonts w:ascii="Times New Roman" w:hAnsi="Times New Roman" w:cs="Times New Roman"/>
          <w:b/>
          <w:caps/>
        </w:rPr>
      </w:pPr>
      <w:r w:rsidRPr="00D302B8">
        <w:rPr>
          <w:rFonts w:ascii="Times New Roman" w:hAnsi="Times New Roman" w:cs="Times New Roman"/>
          <w:b/>
          <w:caps/>
        </w:rPr>
        <w:lastRenderedPageBreak/>
        <w:t>General Project INFORMATION</w:t>
      </w:r>
    </w:p>
    <w:p w:rsidR="00EE6112" w:rsidRPr="00D302B8" w:rsidRDefault="00EE6112" w:rsidP="00D302B8">
      <w:pPr>
        <w:pStyle w:val="ListParagraph"/>
        <w:numPr>
          <w:ilvl w:val="1"/>
          <w:numId w:val="13"/>
        </w:numPr>
        <w:spacing w:after="120"/>
        <w:ind w:left="720" w:hanging="720"/>
        <w:contextualSpacing w:val="0"/>
        <w:rPr>
          <w:rFonts w:ascii="Times New Roman" w:hAnsi="Times New Roman" w:cs="Times New Roman"/>
          <w:b/>
          <w:caps/>
        </w:rPr>
      </w:pPr>
      <w:r w:rsidRPr="00D302B8">
        <w:rPr>
          <w:rFonts w:ascii="Times New Roman" w:hAnsi="Times New Roman" w:cs="Times New Roman"/>
          <w:b/>
          <w:bCs/>
        </w:rPr>
        <w:t>Air Pollution Regulations</w:t>
      </w:r>
    </w:p>
    <w:p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Rules 62-4, 62-210 and 62-212, F.A.C.</w:t>
      </w:r>
    </w:p>
    <w:p w:rsidR="00EE6112" w:rsidRPr="000302D6"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 xml:space="preserve">industrial categories.  The Department adopts these federal regulations </w:t>
      </w:r>
      <w:r>
        <w:rPr>
          <w:sz w:val="22"/>
          <w:szCs w:val="22"/>
        </w:rPr>
        <w:t xml:space="preserve">on a quarterly basis </w:t>
      </w:r>
      <w:r w:rsidRPr="000302D6">
        <w:rPr>
          <w:sz w:val="22"/>
          <w:szCs w:val="22"/>
        </w:rPr>
        <w:t>in Rule 62-204.800, F.A.C.</w:t>
      </w:r>
    </w:p>
    <w:p w:rsidR="00193F10" w:rsidRPr="00D302B8" w:rsidRDefault="00193F10" w:rsidP="00D302B8">
      <w:pPr>
        <w:pStyle w:val="ListParagraph"/>
        <w:numPr>
          <w:ilvl w:val="1"/>
          <w:numId w:val="13"/>
        </w:numPr>
        <w:spacing w:after="120"/>
        <w:ind w:left="720" w:hanging="720"/>
        <w:contextualSpacing w:val="0"/>
        <w:rPr>
          <w:rFonts w:ascii="Times New Roman" w:hAnsi="Times New Roman" w:cs="Times New Roman"/>
          <w:b/>
          <w:bCs/>
        </w:rPr>
      </w:pPr>
      <w:r w:rsidRPr="00D302B8">
        <w:rPr>
          <w:rFonts w:ascii="Times New Roman" w:hAnsi="Times New Roman" w:cs="Times New Roman"/>
          <w:b/>
          <w:bCs/>
        </w:rPr>
        <w:t>Facility Description and Location</w:t>
      </w:r>
    </w:p>
    <w:p w:rsidR="00193F10" w:rsidRDefault="00940F63" w:rsidP="004D1D9F">
      <w:pPr>
        <w:pStyle w:val="BodyText3"/>
        <w:numPr>
          <w:ilvl w:val="12"/>
          <w:numId w:val="0"/>
        </w:numPr>
        <w:spacing w:before="0"/>
      </w:pPr>
      <w:r w:rsidRPr="00940F63">
        <w:t xml:space="preserve">The Palatka Mill </w:t>
      </w:r>
      <w:r w:rsidR="00302267" w:rsidRPr="00940F63">
        <w:t>is</w:t>
      </w:r>
      <w:r>
        <w:t xml:space="preserve"> </w:t>
      </w:r>
      <w:r w:rsidRPr="00940F63">
        <w:t xml:space="preserve">an </w:t>
      </w:r>
      <w:r w:rsidR="004D1D9F" w:rsidRPr="00940F63">
        <w:t>existing</w:t>
      </w:r>
      <w:r w:rsidR="001D1649" w:rsidRPr="00940F63">
        <w:t xml:space="preserve"> </w:t>
      </w:r>
      <w:r w:rsidRPr="00940F63">
        <w:t>Kraft</w:t>
      </w:r>
      <w:r>
        <w:t xml:space="preserve"> pulp and paper mill</w:t>
      </w:r>
      <w:r w:rsidR="001D1649" w:rsidRPr="001C4E37">
        <w:t xml:space="preserve">, which is categorized </w:t>
      </w:r>
      <w:r w:rsidR="001D1649">
        <w:t xml:space="preserve">under </w:t>
      </w:r>
      <w:r w:rsidR="001D1649" w:rsidRPr="001C4E37">
        <w:rPr>
          <w:bCs/>
        </w:rPr>
        <w:t xml:space="preserve">Standard Industrial Classification Code No. </w:t>
      </w:r>
      <w:r>
        <w:rPr>
          <w:bCs/>
        </w:rPr>
        <w:t>2611</w:t>
      </w:r>
      <w:r w:rsidR="001D1649" w:rsidRPr="001C4E37">
        <w:rPr>
          <w:bCs/>
        </w:rPr>
        <w:t>.</w:t>
      </w:r>
      <w:r w:rsidR="001D1649">
        <w:rPr>
          <w:bCs/>
        </w:rPr>
        <w:t xml:space="preserve"> </w:t>
      </w:r>
      <w:r w:rsidR="001C4E37">
        <w:t xml:space="preserve"> </w:t>
      </w:r>
      <w:r w:rsidR="00302267">
        <w:t>T</w:t>
      </w:r>
      <w:r w:rsidR="00302267" w:rsidRPr="004357DC">
        <w:rPr>
          <w:szCs w:val="22"/>
        </w:rPr>
        <w:t xml:space="preserve">he </w:t>
      </w:r>
      <w:r w:rsidR="00302267" w:rsidRPr="00940F63">
        <w:rPr>
          <w:szCs w:val="22"/>
        </w:rPr>
        <w:t xml:space="preserve">existing </w:t>
      </w:r>
      <w:r w:rsidRPr="00940F63">
        <w:rPr>
          <w:szCs w:val="22"/>
        </w:rPr>
        <w:t xml:space="preserve">Palatka Mill </w:t>
      </w:r>
      <w:r w:rsidR="00302267" w:rsidRPr="00940F63">
        <w:rPr>
          <w:szCs w:val="22"/>
        </w:rPr>
        <w:t>is located</w:t>
      </w:r>
      <w:r w:rsidR="00302267" w:rsidRPr="004357DC">
        <w:rPr>
          <w:szCs w:val="22"/>
        </w:rPr>
        <w:t xml:space="preserve"> in </w:t>
      </w:r>
      <w:r>
        <w:rPr>
          <w:szCs w:val="22"/>
        </w:rPr>
        <w:t>Putnam</w:t>
      </w:r>
      <w:r w:rsidR="00302267" w:rsidRPr="004357DC">
        <w:rPr>
          <w:szCs w:val="22"/>
        </w:rPr>
        <w:t xml:space="preserve"> County at </w:t>
      </w:r>
      <w:r>
        <w:rPr>
          <w:szCs w:val="22"/>
        </w:rPr>
        <w:t>215 County Road 216</w:t>
      </w:r>
      <w:r w:rsidR="00302267">
        <w:rPr>
          <w:szCs w:val="22"/>
        </w:rPr>
        <w:t xml:space="preserve"> in</w:t>
      </w:r>
      <w:r w:rsidR="00302267" w:rsidRPr="004357DC">
        <w:rPr>
          <w:szCs w:val="22"/>
        </w:rPr>
        <w:t xml:space="preserve"> </w:t>
      </w:r>
      <w:r w:rsidRPr="00940F63">
        <w:rPr>
          <w:szCs w:val="22"/>
        </w:rPr>
        <w:t>Palatka</w:t>
      </w:r>
      <w:r w:rsidR="00302267" w:rsidRPr="00940F63">
        <w:rPr>
          <w:szCs w:val="22"/>
        </w:rPr>
        <w:t>, Florida</w:t>
      </w:r>
      <w:r w:rsidR="00F71458" w:rsidRPr="00940F63">
        <w:t xml:space="preserve">.  </w:t>
      </w:r>
      <w:r w:rsidR="00193F10" w:rsidRPr="00940F63">
        <w:t>The</w:t>
      </w:r>
      <w:r w:rsidR="00193F10">
        <w:t xml:space="preserve"> UTM coordinates </w:t>
      </w:r>
      <w:r w:rsidR="001D487F">
        <w:t xml:space="preserve">of the </w:t>
      </w:r>
      <w:r w:rsidR="001D487F" w:rsidRPr="00940F63">
        <w:t>existing facility</w:t>
      </w:r>
      <w:r w:rsidR="001D487F">
        <w:t xml:space="preserve"> </w:t>
      </w:r>
      <w:r w:rsidR="00193F10">
        <w:t xml:space="preserve">are </w:t>
      </w:r>
      <w:r w:rsidRPr="000472DA">
        <w:rPr>
          <w:szCs w:val="22"/>
        </w:rPr>
        <w:t xml:space="preserve">Zone </w:t>
      </w:r>
      <w:r>
        <w:rPr>
          <w:szCs w:val="22"/>
        </w:rPr>
        <w:t>17</w:t>
      </w:r>
      <w:r w:rsidRPr="000472DA">
        <w:rPr>
          <w:szCs w:val="22"/>
        </w:rPr>
        <w:t xml:space="preserve">, </w:t>
      </w:r>
      <w:r>
        <w:rPr>
          <w:szCs w:val="22"/>
        </w:rPr>
        <w:t>434.00</w:t>
      </w:r>
      <w:r w:rsidRPr="000472DA">
        <w:rPr>
          <w:szCs w:val="22"/>
        </w:rPr>
        <w:t xml:space="preserve"> </w:t>
      </w:r>
      <w:r w:rsidR="004665E5">
        <w:rPr>
          <w:szCs w:val="22"/>
        </w:rPr>
        <w:t>kilometers (</w:t>
      </w:r>
      <w:r w:rsidRPr="000472DA">
        <w:rPr>
          <w:szCs w:val="22"/>
        </w:rPr>
        <w:t>km</w:t>
      </w:r>
      <w:r w:rsidR="004665E5">
        <w:rPr>
          <w:szCs w:val="22"/>
        </w:rPr>
        <w:t>)</w:t>
      </w:r>
      <w:r w:rsidRPr="000472DA">
        <w:rPr>
          <w:szCs w:val="22"/>
        </w:rPr>
        <w:t xml:space="preserve"> East and </w:t>
      </w:r>
      <w:r>
        <w:rPr>
          <w:szCs w:val="22"/>
        </w:rPr>
        <w:t>3,283.4</w:t>
      </w:r>
      <w:r w:rsidRPr="000472DA">
        <w:rPr>
          <w:szCs w:val="22"/>
        </w:rPr>
        <w:t xml:space="preserve"> km North.  </w:t>
      </w:r>
      <w:r w:rsidR="00193F10">
        <w:t>This site is in an area that is in attainment (or designated as unclassifiable) for all air</w:t>
      </w:r>
      <w:r w:rsidR="001D487F">
        <w:t xml:space="preserve"> pollutants subject to </w:t>
      </w:r>
      <w:r w:rsidR="00F71458">
        <w:t xml:space="preserve">state and federal </w:t>
      </w:r>
      <w:r w:rsidR="00193F10">
        <w:t>Ambient Air Quality Standard</w:t>
      </w:r>
      <w:r w:rsidR="001D487F">
        <w:t>s</w:t>
      </w:r>
      <w:r w:rsidR="00F71458">
        <w:t xml:space="preserve"> (</w:t>
      </w:r>
      <w:r w:rsidR="00193F10">
        <w:t>AAQS).</w:t>
      </w:r>
    </w:p>
    <w:p w:rsidR="00193F10" w:rsidRPr="00D302B8" w:rsidRDefault="001C4E37" w:rsidP="00D302B8">
      <w:pPr>
        <w:pStyle w:val="ListParagraph"/>
        <w:numPr>
          <w:ilvl w:val="1"/>
          <w:numId w:val="13"/>
        </w:numPr>
        <w:spacing w:after="120"/>
        <w:ind w:left="720" w:hanging="720"/>
        <w:contextualSpacing w:val="0"/>
        <w:rPr>
          <w:rFonts w:ascii="Times New Roman" w:hAnsi="Times New Roman" w:cs="Times New Roman"/>
          <w:b/>
          <w:bCs/>
        </w:rPr>
      </w:pPr>
      <w:r w:rsidRPr="00D302B8">
        <w:rPr>
          <w:rFonts w:ascii="Times New Roman" w:hAnsi="Times New Roman" w:cs="Times New Roman"/>
          <w:b/>
          <w:bCs/>
        </w:rPr>
        <w:t xml:space="preserve">Facility </w:t>
      </w:r>
      <w:r w:rsidR="00193F10" w:rsidRPr="00D302B8">
        <w:rPr>
          <w:rFonts w:ascii="Times New Roman" w:hAnsi="Times New Roman" w:cs="Times New Roman"/>
          <w:b/>
          <w:bCs/>
        </w:rPr>
        <w:t>Regulatory Categories</w:t>
      </w:r>
    </w:p>
    <w:p w:rsidR="00F71458" w:rsidRPr="00940F63" w:rsidRDefault="00F71458" w:rsidP="00F71458">
      <w:pPr>
        <w:numPr>
          <w:ilvl w:val="0"/>
          <w:numId w:val="3"/>
        </w:numPr>
        <w:spacing w:after="120"/>
        <w:rPr>
          <w:sz w:val="22"/>
          <w:szCs w:val="22"/>
        </w:rPr>
      </w:pPr>
      <w:r w:rsidRPr="00877418">
        <w:rPr>
          <w:sz w:val="22"/>
          <w:szCs w:val="22"/>
        </w:rPr>
        <w:t xml:space="preserve">The </w:t>
      </w:r>
      <w:r w:rsidRPr="00940F63">
        <w:rPr>
          <w:sz w:val="22"/>
          <w:szCs w:val="22"/>
        </w:rPr>
        <w:t>facility is a major source of hazardous air pollutants (HAP).</w:t>
      </w:r>
    </w:p>
    <w:p w:rsidR="00F71458" w:rsidRPr="00940F63" w:rsidRDefault="00F71458" w:rsidP="00F71458">
      <w:pPr>
        <w:pStyle w:val="BodyText"/>
        <w:numPr>
          <w:ilvl w:val="0"/>
          <w:numId w:val="3"/>
        </w:numPr>
        <w:rPr>
          <w:sz w:val="22"/>
          <w:szCs w:val="22"/>
        </w:rPr>
      </w:pPr>
      <w:r w:rsidRPr="00940F63">
        <w:rPr>
          <w:sz w:val="22"/>
          <w:szCs w:val="22"/>
        </w:rPr>
        <w:t xml:space="preserve">The facility </w:t>
      </w:r>
      <w:r w:rsidR="00302267" w:rsidRPr="00940F63">
        <w:rPr>
          <w:sz w:val="22"/>
          <w:szCs w:val="22"/>
        </w:rPr>
        <w:t xml:space="preserve">does not operate </w:t>
      </w:r>
      <w:r w:rsidRPr="00940F63">
        <w:rPr>
          <w:sz w:val="22"/>
          <w:szCs w:val="22"/>
        </w:rPr>
        <w:t>units subject to the acid rain provisions of the Clean Air Act.</w:t>
      </w:r>
    </w:p>
    <w:p w:rsidR="00F71458" w:rsidRPr="00940F63" w:rsidRDefault="00F71458" w:rsidP="00F71458">
      <w:pPr>
        <w:numPr>
          <w:ilvl w:val="0"/>
          <w:numId w:val="3"/>
        </w:numPr>
        <w:spacing w:after="120"/>
        <w:rPr>
          <w:sz w:val="22"/>
          <w:szCs w:val="22"/>
        </w:rPr>
      </w:pPr>
      <w:r w:rsidRPr="00940F63">
        <w:rPr>
          <w:sz w:val="22"/>
          <w:szCs w:val="22"/>
        </w:rPr>
        <w:t>The facility is a Title V major source of air pollution in accordance with Chapter 213, F.A.C.</w:t>
      </w:r>
    </w:p>
    <w:p w:rsidR="00F71458" w:rsidRDefault="00F71458" w:rsidP="00F71458">
      <w:pPr>
        <w:numPr>
          <w:ilvl w:val="0"/>
          <w:numId w:val="3"/>
        </w:numPr>
        <w:spacing w:after="120"/>
        <w:rPr>
          <w:sz w:val="22"/>
          <w:szCs w:val="22"/>
        </w:rPr>
      </w:pPr>
      <w:r w:rsidRPr="00940F63">
        <w:rPr>
          <w:sz w:val="22"/>
          <w:szCs w:val="22"/>
        </w:rPr>
        <w:t>The facility is a major stationary</w:t>
      </w:r>
      <w:r>
        <w:rPr>
          <w:sz w:val="22"/>
          <w:szCs w:val="22"/>
        </w:rPr>
        <w:t xml:space="preserve"> source </w:t>
      </w:r>
      <w:r w:rsidRPr="00877418">
        <w:rPr>
          <w:sz w:val="22"/>
          <w:szCs w:val="22"/>
        </w:rPr>
        <w:t>in accordance with Rule 62-212.400, F.A.C.</w:t>
      </w:r>
      <w:r>
        <w:rPr>
          <w:sz w:val="22"/>
          <w:szCs w:val="22"/>
        </w:rPr>
        <w:t xml:space="preserve"> for the Prevention of Significant Deterioration (PSD) of Air Quality.</w:t>
      </w:r>
    </w:p>
    <w:p w:rsidR="00193F10" w:rsidRPr="00D302B8" w:rsidRDefault="00193F10" w:rsidP="00D302B8">
      <w:pPr>
        <w:pStyle w:val="ListParagraph"/>
        <w:numPr>
          <w:ilvl w:val="1"/>
          <w:numId w:val="13"/>
        </w:numPr>
        <w:spacing w:after="120"/>
        <w:ind w:left="720" w:hanging="720"/>
        <w:contextualSpacing w:val="0"/>
        <w:rPr>
          <w:rFonts w:ascii="Times New Roman" w:hAnsi="Times New Roman" w:cs="Times New Roman"/>
          <w:b/>
          <w:bCs/>
        </w:rPr>
      </w:pPr>
      <w:r w:rsidRPr="00D302B8">
        <w:rPr>
          <w:rFonts w:ascii="Times New Roman" w:hAnsi="Times New Roman" w:cs="Times New Roman"/>
          <w:b/>
          <w:bCs/>
        </w:rPr>
        <w:t>Project Description</w:t>
      </w:r>
    </w:p>
    <w:p w:rsidR="00F12726" w:rsidRPr="00F12726" w:rsidRDefault="00F12726" w:rsidP="00F12726">
      <w:pPr>
        <w:pStyle w:val="BodyText2"/>
        <w:jc w:val="left"/>
        <w:rPr>
          <w:szCs w:val="22"/>
        </w:rPr>
      </w:pPr>
      <w:r w:rsidRPr="00F12726">
        <w:rPr>
          <w:szCs w:val="22"/>
        </w:rPr>
        <w:t xml:space="preserve">This </w:t>
      </w:r>
      <w:r w:rsidR="00DC4EBB">
        <w:rPr>
          <w:szCs w:val="22"/>
        </w:rPr>
        <w:t xml:space="preserve">project </w:t>
      </w:r>
      <w:r>
        <w:rPr>
          <w:szCs w:val="22"/>
        </w:rPr>
        <w:t xml:space="preserve">involves the revision of existing Air Construction </w:t>
      </w:r>
      <w:r w:rsidRPr="00F12726">
        <w:rPr>
          <w:szCs w:val="22"/>
        </w:rPr>
        <w:t xml:space="preserve">Permit Nos. 1070005-066-AC and 1070005-070-AC for the No. 4 </w:t>
      </w:r>
      <w:r>
        <w:rPr>
          <w:szCs w:val="22"/>
        </w:rPr>
        <w:t>c</w:t>
      </w:r>
      <w:r w:rsidRPr="00F12726">
        <w:rPr>
          <w:szCs w:val="22"/>
        </w:rPr>
        <w:t xml:space="preserve">ombination </w:t>
      </w:r>
      <w:r>
        <w:rPr>
          <w:szCs w:val="22"/>
        </w:rPr>
        <w:t>b</w:t>
      </w:r>
      <w:r w:rsidRPr="00F12726">
        <w:rPr>
          <w:szCs w:val="22"/>
        </w:rPr>
        <w:t xml:space="preserve">oiler </w:t>
      </w:r>
      <w:r>
        <w:rPr>
          <w:szCs w:val="22"/>
        </w:rPr>
        <w:t>at the Palatka Mill</w:t>
      </w:r>
      <w:r w:rsidRPr="00F12726">
        <w:rPr>
          <w:szCs w:val="22"/>
        </w:rPr>
        <w:t xml:space="preserve">.  </w:t>
      </w:r>
      <w:r>
        <w:rPr>
          <w:szCs w:val="22"/>
        </w:rPr>
        <w:t xml:space="preserve">The No. 4 combination boiler is emission unit 016 (EU </w:t>
      </w:r>
      <w:r w:rsidRPr="00F12726">
        <w:rPr>
          <w:szCs w:val="22"/>
        </w:rPr>
        <w:t>016</w:t>
      </w:r>
      <w:r>
        <w:rPr>
          <w:szCs w:val="22"/>
        </w:rPr>
        <w:t xml:space="preserve">) at the facility.  </w:t>
      </w:r>
      <w:r w:rsidRPr="00F12726">
        <w:rPr>
          <w:szCs w:val="22"/>
        </w:rPr>
        <w:t>Permit No. 1070005-066-AC authorized the applicant to perform the following modifications</w:t>
      </w:r>
      <w:r>
        <w:rPr>
          <w:szCs w:val="22"/>
        </w:rPr>
        <w:t xml:space="preserve"> to the No. 4 combination boiler</w:t>
      </w:r>
      <w:r w:rsidRPr="00F12726">
        <w:rPr>
          <w:szCs w:val="22"/>
        </w:rPr>
        <w:t>:</w:t>
      </w:r>
      <w:r>
        <w:rPr>
          <w:szCs w:val="22"/>
        </w:rPr>
        <w:t xml:space="preserve">  </w:t>
      </w:r>
      <w:r w:rsidRPr="00F12726">
        <w:rPr>
          <w:szCs w:val="22"/>
        </w:rPr>
        <w:t>replace the fuel oil burners with natural gas burners; upgrade of the existing mechanical dust collection system; and replace 28 continuous tube sections in the No. 4 combination boiler superheater section.  Permit No. 1070005-070-AC authorized the replacement of approximately 1,400 air preheater tubes out of a total of 2,320 tubes in the No. 4 Combination Boiler.  Approximately 400 tubes require</w:t>
      </w:r>
      <w:r w:rsidR="00DB52EE">
        <w:rPr>
          <w:szCs w:val="22"/>
        </w:rPr>
        <w:t>d</w:t>
      </w:r>
      <w:r w:rsidRPr="00F12726">
        <w:rPr>
          <w:szCs w:val="22"/>
        </w:rPr>
        <w:t xml:space="preserve"> prompt replacement due to corrosion or ash buildup, while approximately 1,000 tubes </w:t>
      </w:r>
      <w:r w:rsidR="00DB52EE">
        <w:rPr>
          <w:szCs w:val="22"/>
        </w:rPr>
        <w:t>were</w:t>
      </w:r>
      <w:r w:rsidRPr="00F12726">
        <w:rPr>
          <w:szCs w:val="22"/>
        </w:rPr>
        <w:t xml:space="preserve"> replaced to minimize future failures and plugging.  </w:t>
      </w:r>
    </w:p>
    <w:p w:rsidR="00C74305" w:rsidRDefault="00F12726" w:rsidP="00F12726">
      <w:pPr>
        <w:pStyle w:val="BodyText2"/>
        <w:numPr>
          <w:ilvl w:val="0"/>
          <w:numId w:val="0"/>
        </w:numPr>
        <w:jc w:val="left"/>
        <w:rPr>
          <w:szCs w:val="22"/>
        </w:rPr>
      </w:pPr>
      <w:r w:rsidRPr="00F12726">
        <w:rPr>
          <w:szCs w:val="22"/>
        </w:rPr>
        <w:t xml:space="preserve">This project (Permit No. 1070005-078-AC) involves </w:t>
      </w:r>
      <w:r w:rsidR="00DB52EE">
        <w:rPr>
          <w:szCs w:val="22"/>
        </w:rPr>
        <w:t xml:space="preserve">replacing </w:t>
      </w:r>
      <w:r w:rsidRPr="00F12726">
        <w:rPr>
          <w:szCs w:val="22"/>
        </w:rPr>
        <w:t>the current ESP used to control particulate matter (PM) emissions from the No. 4 combination boiler with an ESP previously used to control PM emission from the N</w:t>
      </w:r>
      <w:r w:rsidR="007E6A52">
        <w:rPr>
          <w:szCs w:val="22"/>
        </w:rPr>
        <w:t>o</w:t>
      </w:r>
      <w:r w:rsidRPr="00F12726">
        <w:rPr>
          <w:szCs w:val="22"/>
        </w:rPr>
        <w:t xml:space="preserve">. 5 power boiler.  </w:t>
      </w:r>
      <w:r w:rsidR="007E6A52" w:rsidRPr="007E6A52">
        <w:rPr>
          <w:szCs w:val="22"/>
        </w:rPr>
        <w:t xml:space="preserve">The ESP for the No. 5 power boiler is no longer used since the boiler was converted to natural gas firing.  </w:t>
      </w:r>
      <w:r w:rsidRPr="00F12726">
        <w:rPr>
          <w:szCs w:val="22"/>
        </w:rPr>
        <w:t>The replacement is necessary, because the original ESP was damaged by fire in November 2012.  According to the applicant, the power boiler ESP is nearly identical in size, design and configuration to the original ESP and should provide equivalent PM control efficiency</w:t>
      </w:r>
      <w:r w:rsidR="004665E5" w:rsidRPr="004665E5">
        <w:rPr>
          <w:szCs w:val="22"/>
        </w:rPr>
        <w:t>.</w:t>
      </w:r>
      <w:r w:rsidR="00DC4EBB">
        <w:rPr>
          <w:szCs w:val="22"/>
        </w:rPr>
        <w:t xml:space="preserve">  In addition, this project incorporates </w:t>
      </w:r>
      <w:r w:rsidR="00DC4EBB" w:rsidRPr="00DC4EBB">
        <w:rPr>
          <w:szCs w:val="22"/>
        </w:rPr>
        <w:t>a permit exemption letter date</w:t>
      </w:r>
      <w:r w:rsidR="001329FA">
        <w:rPr>
          <w:szCs w:val="22"/>
        </w:rPr>
        <w:t>d</w:t>
      </w:r>
      <w:r w:rsidR="00DC4EBB" w:rsidRPr="00DC4EBB">
        <w:rPr>
          <w:szCs w:val="22"/>
        </w:rPr>
        <w:t xml:space="preserve"> December 12, 2012, </w:t>
      </w:r>
      <w:r w:rsidR="00C65C9A">
        <w:rPr>
          <w:szCs w:val="22"/>
        </w:rPr>
        <w:t>wherein the</w:t>
      </w:r>
      <w:r w:rsidR="00DC4EBB" w:rsidRPr="00DC4EBB">
        <w:rPr>
          <w:szCs w:val="22"/>
        </w:rPr>
        <w:t xml:space="preserve"> Department granted the permittee the authority to plug off 14 dust collector tubes in the No 4 Combination Boiler dust collection system.  After plugging these tubes, 34 </w:t>
      </w:r>
      <w:r w:rsidR="00DC4EBB" w:rsidRPr="00DC4EBB">
        <w:rPr>
          <w:szCs w:val="22"/>
        </w:rPr>
        <w:lastRenderedPageBreak/>
        <w:t>active tubes will remain in the dust collection system.  The result of plugging the tubes will be an increase in flue gas velocity through the dust collection system (cyclones), which should increase the efficiency of the mechanical dust collection system.  This work is also included in this permitting action for completeness even through no permit is required to conduct the work</w:t>
      </w:r>
    </w:p>
    <w:p w:rsidR="001C4E37" w:rsidRPr="00C65C9A" w:rsidRDefault="001C4E37" w:rsidP="00C65C9A">
      <w:pPr>
        <w:pStyle w:val="ListParagraph"/>
        <w:numPr>
          <w:ilvl w:val="1"/>
          <w:numId w:val="13"/>
        </w:numPr>
        <w:spacing w:after="120"/>
        <w:ind w:left="720" w:hanging="720"/>
        <w:contextualSpacing w:val="0"/>
        <w:rPr>
          <w:rFonts w:ascii="Times New Roman" w:hAnsi="Times New Roman" w:cs="Times New Roman"/>
          <w:b/>
          <w:bCs/>
        </w:rPr>
      </w:pPr>
      <w:r w:rsidRPr="00C65C9A">
        <w:rPr>
          <w:rFonts w:ascii="Times New Roman" w:hAnsi="Times New Roman" w:cs="Times New Roman"/>
          <w:b/>
          <w:bCs/>
        </w:rPr>
        <w:t>Processing Schedule</w:t>
      </w:r>
    </w:p>
    <w:p w:rsidR="001C4E37" w:rsidRPr="00782ABD" w:rsidRDefault="00C04FD1" w:rsidP="008D2BBC">
      <w:pPr>
        <w:pStyle w:val="BodyText"/>
        <w:numPr>
          <w:ilvl w:val="0"/>
          <w:numId w:val="17"/>
        </w:numPr>
        <w:tabs>
          <w:tab w:val="left" w:pos="1980"/>
        </w:tabs>
        <w:spacing w:after="60"/>
        <w:ind w:left="360"/>
        <w:rPr>
          <w:sz w:val="22"/>
        </w:rPr>
      </w:pPr>
      <w:r>
        <w:rPr>
          <w:sz w:val="22"/>
        </w:rPr>
        <w:t xml:space="preserve">December </w:t>
      </w:r>
      <w:r w:rsidR="009872EA">
        <w:rPr>
          <w:sz w:val="22"/>
        </w:rPr>
        <w:t>19</w:t>
      </w:r>
      <w:r w:rsidR="00940F63">
        <w:rPr>
          <w:sz w:val="22"/>
        </w:rPr>
        <w:t>, 201</w:t>
      </w:r>
      <w:r w:rsidR="009872EA">
        <w:rPr>
          <w:sz w:val="22"/>
        </w:rPr>
        <w:t>2</w:t>
      </w:r>
      <w:r w:rsidR="00DB52EE">
        <w:rPr>
          <w:sz w:val="22"/>
        </w:rPr>
        <w:t>:</w:t>
      </w:r>
      <w:r w:rsidR="00767228">
        <w:rPr>
          <w:sz w:val="22"/>
        </w:rPr>
        <w:tab/>
      </w:r>
      <w:r w:rsidR="001C4E37" w:rsidRPr="00782ABD">
        <w:rPr>
          <w:sz w:val="22"/>
        </w:rPr>
        <w:t xml:space="preserve">Received </w:t>
      </w:r>
      <w:r w:rsidR="009872EA">
        <w:rPr>
          <w:sz w:val="22"/>
        </w:rPr>
        <w:t>complete</w:t>
      </w:r>
      <w:r w:rsidR="001C4E37" w:rsidRPr="00782ABD">
        <w:rPr>
          <w:sz w:val="22"/>
        </w:rPr>
        <w:t xml:space="preserve"> application for a minor source air pollution construction permit.</w:t>
      </w:r>
    </w:p>
    <w:p w:rsidR="001C4E37" w:rsidRDefault="009872EA" w:rsidP="008D2BBC">
      <w:pPr>
        <w:pStyle w:val="BodyText"/>
        <w:numPr>
          <w:ilvl w:val="0"/>
          <w:numId w:val="17"/>
        </w:numPr>
        <w:tabs>
          <w:tab w:val="left" w:pos="1980"/>
        </w:tabs>
        <w:ind w:left="360"/>
        <w:rPr>
          <w:sz w:val="22"/>
        </w:rPr>
      </w:pPr>
      <w:r w:rsidRPr="0024738C">
        <w:rPr>
          <w:sz w:val="22"/>
        </w:rPr>
        <w:t xml:space="preserve">January </w:t>
      </w:r>
      <w:r w:rsidR="0024738C">
        <w:rPr>
          <w:sz w:val="22"/>
        </w:rPr>
        <w:t>3</w:t>
      </w:r>
      <w:r w:rsidR="00C95882" w:rsidRPr="0024738C">
        <w:rPr>
          <w:sz w:val="22"/>
        </w:rPr>
        <w:t>, 201</w:t>
      </w:r>
      <w:r w:rsidRPr="0024738C">
        <w:rPr>
          <w:sz w:val="22"/>
        </w:rPr>
        <w:t>3</w:t>
      </w:r>
      <w:r w:rsidR="00DB52EE">
        <w:rPr>
          <w:sz w:val="22"/>
        </w:rPr>
        <w:t>:</w:t>
      </w:r>
      <w:r w:rsidR="005F05B0">
        <w:rPr>
          <w:sz w:val="22"/>
        </w:rPr>
        <w:tab/>
      </w:r>
      <w:r w:rsidR="00767228">
        <w:rPr>
          <w:sz w:val="22"/>
        </w:rPr>
        <w:t>Issued draft permit package</w:t>
      </w:r>
      <w:r w:rsidR="001C4E37" w:rsidRPr="00782ABD">
        <w:rPr>
          <w:sz w:val="22"/>
        </w:rPr>
        <w:t>.</w:t>
      </w:r>
    </w:p>
    <w:p w:rsidR="00193F10" w:rsidRPr="009872EA" w:rsidRDefault="00D51D78" w:rsidP="009872EA">
      <w:pPr>
        <w:pStyle w:val="ListParagraph"/>
        <w:numPr>
          <w:ilvl w:val="0"/>
          <w:numId w:val="13"/>
        </w:numPr>
        <w:spacing w:after="120"/>
        <w:ind w:left="720" w:hanging="720"/>
        <w:contextualSpacing w:val="0"/>
        <w:rPr>
          <w:rFonts w:ascii="Times New Roman" w:hAnsi="Times New Roman" w:cs="Times New Roman"/>
          <w:b/>
          <w:caps/>
        </w:rPr>
      </w:pPr>
      <w:r w:rsidRPr="009872EA">
        <w:rPr>
          <w:rFonts w:ascii="Times New Roman" w:hAnsi="Times New Roman" w:cs="Times New Roman"/>
          <w:b/>
          <w:caps/>
        </w:rPr>
        <w:t>PSD Applicability</w:t>
      </w:r>
    </w:p>
    <w:p w:rsidR="00D51D78" w:rsidRPr="009872EA" w:rsidRDefault="00D51D78" w:rsidP="009872EA">
      <w:pPr>
        <w:pStyle w:val="ListParagraph"/>
        <w:numPr>
          <w:ilvl w:val="1"/>
          <w:numId w:val="13"/>
        </w:numPr>
        <w:spacing w:after="120"/>
        <w:ind w:left="720" w:hanging="720"/>
        <w:contextualSpacing w:val="0"/>
        <w:rPr>
          <w:rFonts w:ascii="Times New Roman" w:hAnsi="Times New Roman" w:cs="Times New Roman"/>
          <w:b/>
          <w:caps/>
        </w:rPr>
      </w:pPr>
      <w:r w:rsidRPr="009872EA">
        <w:rPr>
          <w:rFonts w:ascii="Times New Roman" w:hAnsi="Times New Roman" w:cs="Times New Roman"/>
          <w:b/>
        </w:rPr>
        <w:t>General PSD Applicability</w:t>
      </w:r>
    </w:p>
    <w:p w:rsidR="00A56796" w:rsidRDefault="00A56796" w:rsidP="00A56796">
      <w:pPr>
        <w:widowControl w:val="0"/>
        <w:spacing w:after="120"/>
        <w:rPr>
          <w:rFonts w:eastAsia="Calibri"/>
          <w:sz w:val="22"/>
          <w:szCs w:val="22"/>
        </w:rPr>
      </w:pPr>
      <w:r w:rsidRPr="005C0768">
        <w:rPr>
          <w:rFonts w:eastAsia="Calibri"/>
          <w:sz w:val="22"/>
          <w:szCs w:val="22"/>
        </w:rPr>
        <w:t xml:space="preserve">The Department regulates major stationary sources in accordance with Florida’s PSD program pursuant to Rule 62-212.400, F.A.C.  PSD preconstruction review is required in areas that are currently in attainment with the state and federal </w:t>
      </w:r>
      <w:r>
        <w:rPr>
          <w:rFonts w:eastAsia="Calibri"/>
          <w:sz w:val="22"/>
          <w:szCs w:val="22"/>
        </w:rPr>
        <w:t>ambient air quality standards (</w:t>
      </w:r>
      <w:r w:rsidRPr="005C0768">
        <w:rPr>
          <w:rFonts w:eastAsia="Calibri"/>
          <w:sz w:val="22"/>
          <w:szCs w:val="22"/>
        </w:rPr>
        <w:t>AAQS</w:t>
      </w:r>
      <w:r>
        <w:rPr>
          <w:rFonts w:eastAsia="Calibri"/>
          <w:sz w:val="22"/>
          <w:szCs w:val="22"/>
        </w:rPr>
        <w:t>)</w:t>
      </w:r>
      <w:r w:rsidRPr="005C0768">
        <w:rPr>
          <w:rFonts w:eastAsia="Calibri"/>
          <w:sz w:val="22"/>
          <w:szCs w:val="22"/>
        </w:rPr>
        <w:t xml:space="preserve"> or areas designated as “unclassifiable” for these regulated pollutants.  </w:t>
      </w:r>
      <w:r>
        <w:rPr>
          <w:rFonts w:eastAsia="Calibri"/>
          <w:sz w:val="22"/>
          <w:szCs w:val="22"/>
        </w:rPr>
        <w:t xml:space="preserve">Commonly addressed </w:t>
      </w:r>
      <w:r w:rsidRPr="005C0768">
        <w:rPr>
          <w:rFonts w:eastAsia="Calibri"/>
          <w:sz w:val="22"/>
          <w:szCs w:val="22"/>
        </w:rPr>
        <w:t xml:space="preserve">PSD pollutants </w:t>
      </w:r>
      <w:r w:rsidR="00CE4ADB">
        <w:rPr>
          <w:rFonts w:eastAsia="Calibri"/>
          <w:sz w:val="22"/>
          <w:szCs w:val="22"/>
        </w:rPr>
        <w:t xml:space="preserve">for </w:t>
      </w:r>
      <w:r w:rsidR="00CE4ADB" w:rsidRPr="00CE4ADB">
        <w:rPr>
          <w:rFonts w:eastAsia="Calibri"/>
          <w:sz w:val="22"/>
          <w:szCs w:val="22"/>
        </w:rPr>
        <w:t xml:space="preserve">Kraft pulp mills </w:t>
      </w:r>
      <w:r w:rsidR="00CE4ADB">
        <w:rPr>
          <w:rFonts w:eastAsia="Calibri"/>
          <w:sz w:val="22"/>
          <w:szCs w:val="22"/>
        </w:rPr>
        <w:t xml:space="preserve">such as the Palatka Mill </w:t>
      </w:r>
      <w:r w:rsidRPr="005C0768">
        <w:rPr>
          <w:rFonts w:eastAsia="Calibri"/>
          <w:sz w:val="22"/>
          <w:szCs w:val="22"/>
        </w:rPr>
        <w:t xml:space="preserve">include: </w:t>
      </w:r>
      <w:r w:rsidR="00143813">
        <w:rPr>
          <w:rFonts w:eastAsia="Calibri"/>
          <w:sz w:val="22"/>
          <w:szCs w:val="22"/>
        </w:rPr>
        <w:t>carbon monoxide (</w:t>
      </w:r>
      <w:r w:rsidRPr="005C0768">
        <w:rPr>
          <w:rFonts w:eastAsia="Calibri"/>
          <w:sz w:val="22"/>
          <w:szCs w:val="22"/>
        </w:rPr>
        <w:t>CO</w:t>
      </w:r>
      <w:r w:rsidR="00143813">
        <w:rPr>
          <w:rFonts w:eastAsia="Calibri"/>
          <w:sz w:val="22"/>
          <w:szCs w:val="22"/>
        </w:rPr>
        <w:t>)</w:t>
      </w:r>
      <w:r>
        <w:rPr>
          <w:rFonts w:eastAsia="Calibri"/>
          <w:sz w:val="22"/>
          <w:szCs w:val="22"/>
        </w:rPr>
        <w:t>,</w:t>
      </w:r>
      <w:r w:rsidR="00143813">
        <w:rPr>
          <w:rFonts w:eastAsia="Calibri"/>
          <w:sz w:val="22"/>
          <w:szCs w:val="22"/>
        </w:rPr>
        <w:t xml:space="preserve"> nitrogen oxide (</w:t>
      </w:r>
      <w:r w:rsidRPr="005C0768">
        <w:rPr>
          <w:rFonts w:eastAsia="Calibri"/>
          <w:sz w:val="22"/>
          <w:szCs w:val="22"/>
        </w:rPr>
        <w:t>NO</w:t>
      </w:r>
      <w:r w:rsidRPr="007B78BD">
        <w:rPr>
          <w:rFonts w:eastAsia="Calibri"/>
          <w:sz w:val="22"/>
          <w:szCs w:val="22"/>
          <w:vertAlign w:val="subscript"/>
        </w:rPr>
        <w:t>X</w:t>
      </w:r>
      <w:r w:rsidR="00143813" w:rsidRPr="00143813">
        <w:rPr>
          <w:rFonts w:eastAsia="Calibri"/>
          <w:sz w:val="22"/>
          <w:szCs w:val="22"/>
        </w:rPr>
        <w:t>)</w:t>
      </w:r>
      <w:r>
        <w:rPr>
          <w:rFonts w:eastAsia="Calibri"/>
          <w:sz w:val="22"/>
          <w:szCs w:val="22"/>
        </w:rPr>
        <w:t>, PM,</w:t>
      </w:r>
      <w:r w:rsidRPr="005C0768">
        <w:rPr>
          <w:rFonts w:eastAsia="Calibri"/>
          <w:sz w:val="22"/>
          <w:szCs w:val="22"/>
        </w:rPr>
        <w:t xml:space="preserve"> </w:t>
      </w:r>
      <w:r w:rsidR="00143813">
        <w:rPr>
          <w:rFonts w:eastAsia="Calibri"/>
          <w:sz w:val="22"/>
          <w:szCs w:val="22"/>
        </w:rPr>
        <w:t>PM with a mean diameter of 10 microns or less (</w:t>
      </w:r>
      <w:r w:rsidRPr="005C0768">
        <w:rPr>
          <w:rFonts w:eastAsia="Calibri"/>
          <w:sz w:val="22"/>
          <w:szCs w:val="22"/>
        </w:rPr>
        <w:t>PM</w:t>
      </w:r>
      <w:r w:rsidRPr="00DB5285">
        <w:rPr>
          <w:rFonts w:eastAsia="Calibri"/>
          <w:sz w:val="22"/>
          <w:szCs w:val="22"/>
          <w:vertAlign w:val="subscript"/>
        </w:rPr>
        <w:t>10</w:t>
      </w:r>
      <w:r w:rsidR="00143813">
        <w:rPr>
          <w:rFonts w:eastAsia="Calibri"/>
          <w:sz w:val="22"/>
          <w:szCs w:val="22"/>
        </w:rPr>
        <w:t>)</w:t>
      </w:r>
      <w:r>
        <w:rPr>
          <w:rFonts w:eastAsia="Calibri"/>
          <w:sz w:val="22"/>
          <w:szCs w:val="22"/>
        </w:rPr>
        <w:t>,</w:t>
      </w:r>
      <w:r w:rsidRPr="005C0768">
        <w:rPr>
          <w:rFonts w:eastAsia="Calibri"/>
          <w:sz w:val="22"/>
          <w:szCs w:val="22"/>
        </w:rPr>
        <w:t xml:space="preserve"> </w:t>
      </w:r>
      <w:r w:rsidR="00143813">
        <w:rPr>
          <w:rFonts w:eastAsia="Calibri"/>
          <w:sz w:val="22"/>
          <w:szCs w:val="22"/>
        </w:rPr>
        <w:t>PM with a mean diameter of 2.5 microns or less (</w:t>
      </w:r>
      <w:r>
        <w:rPr>
          <w:rFonts w:eastAsia="Calibri"/>
          <w:sz w:val="22"/>
          <w:szCs w:val="22"/>
        </w:rPr>
        <w:t>PM</w:t>
      </w:r>
      <w:r w:rsidRPr="00B81C9A">
        <w:rPr>
          <w:rFonts w:eastAsia="Calibri"/>
          <w:sz w:val="22"/>
          <w:szCs w:val="22"/>
          <w:vertAlign w:val="subscript"/>
        </w:rPr>
        <w:t>2.5</w:t>
      </w:r>
      <w:r w:rsidR="00143813">
        <w:rPr>
          <w:rFonts w:eastAsia="Calibri"/>
          <w:sz w:val="22"/>
          <w:szCs w:val="22"/>
        </w:rPr>
        <w:t>)</w:t>
      </w:r>
      <w:r>
        <w:rPr>
          <w:rFonts w:eastAsia="Calibri"/>
          <w:sz w:val="22"/>
          <w:szCs w:val="22"/>
        </w:rPr>
        <w:t xml:space="preserve">, </w:t>
      </w:r>
      <w:r w:rsidR="00143813">
        <w:rPr>
          <w:rFonts w:eastAsia="Calibri"/>
          <w:sz w:val="22"/>
          <w:szCs w:val="22"/>
        </w:rPr>
        <w:t>sulfur dioxide (</w:t>
      </w:r>
      <w:r>
        <w:rPr>
          <w:rFonts w:eastAsia="Calibri"/>
          <w:sz w:val="22"/>
          <w:szCs w:val="22"/>
        </w:rPr>
        <w:t>SO</w:t>
      </w:r>
      <w:r w:rsidRPr="00CC5837">
        <w:rPr>
          <w:rFonts w:eastAsia="Calibri"/>
          <w:sz w:val="22"/>
          <w:szCs w:val="22"/>
          <w:vertAlign w:val="subscript"/>
        </w:rPr>
        <w:t>2</w:t>
      </w:r>
      <w:r w:rsidR="00143813">
        <w:rPr>
          <w:rFonts w:eastAsia="Calibri"/>
          <w:sz w:val="22"/>
          <w:szCs w:val="22"/>
        </w:rPr>
        <w:t>)</w:t>
      </w:r>
      <w:r>
        <w:rPr>
          <w:rFonts w:eastAsia="Calibri"/>
          <w:sz w:val="22"/>
          <w:szCs w:val="22"/>
        </w:rPr>
        <w:t xml:space="preserve">, </w:t>
      </w:r>
      <w:r w:rsidR="00143813">
        <w:rPr>
          <w:rFonts w:eastAsia="Calibri"/>
          <w:sz w:val="22"/>
          <w:szCs w:val="22"/>
        </w:rPr>
        <w:t>volatile organic compounds (</w:t>
      </w:r>
      <w:r>
        <w:rPr>
          <w:rFonts w:eastAsia="Calibri"/>
          <w:sz w:val="22"/>
          <w:szCs w:val="22"/>
        </w:rPr>
        <w:t>VOC</w:t>
      </w:r>
      <w:r w:rsidR="00143813">
        <w:rPr>
          <w:rFonts w:eastAsia="Calibri"/>
          <w:sz w:val="22"/>
          <w:szCs w:val="22"/>
        </w:rPr>
        <w:t>) and</w:t>
      </w:r>
      <w:r>
        <w:rPr>
          <w:rFonts w:eastAsia="Calibri"/>
          <w:sz w:val="22"/>
          <w:szCs w:val="22"/>
        </w:rPr>
        <w:t xml:space="preserve"> </w:t>
      </w:r>
      <w:r w:rsidR="00143813">
        <w:rPr>
          <w:rFonts w:eastAsia="Calibri"/>
          <w:sz w:val="22"/>
          <w:szCs w:val="22"/>
        </w:rPr>
        <w:t>sulfuric acid mist (</w:t>
      </w:r>
      <w:r>
        <w:rPr>
          <w:rFonts w:eastAsia="Calibri"/>
          <w:sz w:val="22"/>
          <w:szCs w:val="22"/>
        </w:rPr>
        <w:t>SAM</w:t>
      </w:r>
      <w:r w:rsidR="00143813">
        <w:rPr>
          <w:rFonts w:eastAsia="Calibri"/>
          <w:sz w:val="22"/>
          <w:szCs w:val="22"/>
        </w:rPr>
        <w:t>)</w:t>
      </w:r>
      <w:r>
        <w:rPr>
          <w:rFonts w:eastAsia="Calibri"/>
          <w:sz w:val="22"/>
          <w:szCs w:val="22"/>
        </w:rPr>
        <w:t xml:space="preserve">.  </w:t>
      </w:r>
    </w:p>
    <w:p w:rsidR="00A56796" w:rsidRPr="004E4744" w:rsidRDefault="00A56796" w:rsidP="00A56796">
      <w:pPr>
        <w:widowControl w:val="0"/>
        <w:spacing w:after="120"/>
        <w:rPr>
          <w:rFonts w:eastAsia="Calibri"/>
          <w:sz w:val="22"/>
          <w:szCs w:val="22"/>
        </w:rPr>
      </w:pPr>
      <w:r>
        <w:rPr>
          <w:rFonts w:eastAsia="Calibri"/>
          <w:sz w:val="22"/>
          <w:szCs w:val="22"/>
        </w:rPr>
        <w:t>Additional PSD pollutants that are more common to certain other industries include:</w:t>
      </w:r>
      <w:r w:rsidRPr="005C0768">
        <w:rPr>
          <w:rFonts w:eastAsia="Calibri"/>
          <w:sz w:val="22"/>
          <w:szCs w:val="22"/>
        </w:rPr>
        <w:t xml:space="preserve"> </w:t>
      </w:r>
      <w:r w:rsidR="008D2BBC">
        <w:rPr>
          <w:rFonts w:eastAsia="Calibri"/>
          <w:sz w:val="22"/>
          <w:szCs w:val="22"/>
        </w:rPr>
        <w:t xml:space="preserve">lead (Pb), mercury (Hg), </w:t>
      </w:r>
      <w:r>
        <w:rPr>
          <w:rFonts w:eastAsia="Calibri"/>
          <w:sz w:val="22"/>
          <w:szCs w:val="22"/>
        </w:rPr>
        <w:t>hydrogen sulfide (</w:t>
      </w:r>
      <w:r w:rsidRPr="005C0768">
        <w:rPr>
          <w:rFonts w:eastAsia="Calibri"/>
          <w:sz w:val="22"/>
          <w:szCs w:val="22"/>
        </w:rPr>
        <w:t>H</w:t>
      </w:r>
      <w:r w:rsidRPr="007B78BD">
        <w:rPr>
          <w:rFonts w:eastAsia="Calibri"/>
          <w:sz w:val="22"/>
          <w:szCs w:val="22"/>
          <w:vertAlign w:val="subscript"/>
        </w:rPr>
        <w:t>2</w:t>
      </w:r>
      <w:r w:rsidRPr="005C0768">
        <w:rPr>
          <w:rFonts w:eastAsia="Calibri"/>
          <w:sz w:val="22"/>
          <w:szCs w:val="22"/>
        </w:rPr>
        <w:t>S</w:t>
      </w:r>
      <w:r>
        <w:rPr>
          <w:rFonts w:eastAsia="Calibri"/>
          <w:sz w:val="22"/>
          <w:szCs w:val="22"/>
        </w:rPr>
        <w:t xml:space="preserve">), </w:t>
      </w:r>
      <w:r w:rsidRPr="005C0768">
        <w:rPr>
          <w:rFonts w:eastAsia="Calibri"/>
          <w:sz w:val="22"/>
          <w:szCs w:val="22"/>
        </w:rPr>
        <w:t>TRS including H</w:t>
      </w:r>
      <w:r w:rsidRPr="007B78BD">
        <w:rPr>
          <w:rFonts w:eastAsia="Calibri"/>
          <w:sz w:val="22"/>
          <w:szCs w:val="22"/>
          <w:vertAlign w:val="subscript"/>
        </w:rPr>
        <w:t>2</w:t>
      </w:r>
      <w:r w:rsidRPr="005C0768">
        <w:rPr>
          <w:rFonts w:eastAsia="Calibri"/>
          <w:sz w:val="22"/>
          <w:szCs w:val="22"/>
        </w:rPr>
        <w:t>S</w:t>
      </w:r>
      <w:r>
        <w:rPr>
          <w:rFonts w:eastAsia="Calibri"/>
          <w:sz w:val="22"/>
          <w:szCs w:val="22"/>
        </w:rPr>
        <w:t>, reduced sulfur compounds (RSC) including H</w:t>
      </w:r>
      <w:r w:rsidRPr="00F81267">
        <w:rPr>
          <w:rFonts w:eastAsia="Calibri"/>
          <w:sz w:val="22"/>
          <w:szCs w:val="22"/>
          <w:vertAlign w:val="subscript"/>
        </w:rPr>
        <w:t>2</w:t>
      </w:r>
      <w:r>
        <w:rPr>
          <w:rFonts w:eastAsia="Calibri"/>
          <w:sz w:val="22"/>
          <w:szCs w:val="22"/>
        </w:rPr>
        <w:t>S, municipal waste combustor (</w:t>
      </w:r>
      <w:r w:rsidRPr="005C0768">
        <w:rPr>
          <w:rFonts w:eastAsia="Calibri"/>
          <w:sz w:val="22"/>
          <w:szCs w:val="22"/>
        </w:rPr>
        <w:t>MWC</w:t>
      </w:r>
      <w:r>
        <w:rPr>
          <w:rFonts w:eastAsia="Calibri"/>
          <w:sz w:val="22"/>
          <w:szCs w:val="22"/>
        </w:rPr>
        <w:t>)</w:t>
      </w:r>
      <w:r w:rsidRPr="005C0768">
        <w:rPr>
          <w:rFonts w:eastAsia="Calibri"/>
          <w:sz w:val="22"/>
          <w:szCs w:val="22"/>
        </w:rPr>
        <w:t xml:space="preserve"> organics measured as total tetra- through octa-chlorinated dibenzo-p-dioxins and dibenzofurans (</w:t>
      </w:r>
      <w:r>
        <w:rPr>
          <w:rFonts w:eastAsia="Calibri"/>
          <w:sz w:val="22"/>
          <w:szCs w:val="22"/>
        </w:rPr>
        <w:t xml:space="preserve">dioxin/furan), </w:t>
      </w:r>
      <w:r w:rsidRPr="005C0768">
        <w:rPr>
          <w:rFonts w:eastAsia="Calibri"/>
          <w:sz w:val="22"/>
          <w:szCs w:val="22"/>
        </w:rPr>
        <w:t xml:space="preserve">MWC metals measured as PM; MWC acid gases </w:t>
      </w:r>
      <w:r w:rsidRPr="004E4744">
        <w:rPr>
          <w:rFonts w:eastAsia="Calibri"/>
          <w:sz w:val="22"/>
          <w:szCs w:val="22"/>
        </w:rPr>
        <w:t>measured as SO</w:t>
      </w:r>
      <w:r w:rsidRPr="004E4744">
        <w:rPr>
          <w:rFonts w:eastAsia="Calibri"/>
          <w:sz w:val="22"/>
          <w:szCs w:val="22"/>
          <w:vertAlign w:val="subscript"/>
        </w:rPr>
        <w:t>2</w:t>
      </w:r>
      <w:r w:rsidRPr="004E4744">
        <w:rPr>
          <w:rFonts w:eastAsia="Calibri"/>
          <w:sz w:val="22"/>
          <w:szCs w:val="22"/>
        </w:rPr>
        <w:t xml:space="preserve"> and HCl, </w:t>
      </w:r>
      <w:r>
        <w:rPr>
          <w:rFonts w:eastAsia="Calibri"/>
          <w:sz w:val="22"/>
          <w:szCs w:val="22"/>
        </w:rPr>
        <w:t>and municipal solid waste (</w:t>
      </w:r>
      <w:r w:rsidRPr="004E4744">
        <w:rPr>
          <w:sz w:val="22"/>
          <w:szCs w:val="22"/>
        </w:rPr>
        <w:t>MSW</w:t>
      </w:r>
      <w:r>
        <w:rPr>
          <w:sz w:val="22"/>
          <w:szCs w:val="22"/>
        </w:rPr>
        <w:t>)</w:t>
      </w:r>
      <w:r w:rsidRPr="004E4744">
        <w:rPr>
          <w:sz w:val="22"/>
          <w:szCs w:val="22"/>
        </w:rPr>
        <w:t xml:space="preserve"> landfill emissions as non-</w:t>
      </w:r>
      <w:r>
        <w:rPr>
          <w:sz w:val="22"/>
          <w:szCs w:val="22"/>
        </w:rPr>
        <w:t>methane organic compounds (NMOC)</w:t>
      </w:r>
      <w:r w:rsidRPr="004E4744">
        <w:rPr>
          <w:rFonts w:eastAsia="Calibri"/>
          <w:sz w:val="22"/>
          <w:szCs w:val="22"/>
        </w:rPr>
        <w:t xml:space="preserve">.  </w:t>
      </w:r>
    </w:p>
    <w:p w:rsidR="00A56796" w:rsidRDefault="00A56796" w:rsidP="00A56796">
      <w:pPr>
        <w:pStyle w:val="Default"/>
        <w:spacing w:after="60"/>
        <w:rPr>
          <w:sz w:val="22"/>
          <w:szCs w:val="22"/>
        </w:rPr>
      </w:pPr>
      <w:r w:rsidRPr="005C0768">
        <w:rPr>
          <w:rFonts w:eastAsia="Calibri"/>
          <w:sz w:val="22"/>
          <w:szCs w:val="22"/>
        </w:rPr>
        <w:t>As defined in Rule 62-210.200(</w:t>
      </w:r>
      <w:r>
        <w:rPr>
          <w:rFonts w:eastAsia="Calibri"/>
          <w:sz w:val="22"/>
          <w:szCs w:val="22"/>
        </w:rPr>
        <w:t>Definitions)</w:t>
      </w:r>
      <w:r w:rsidRPr="005C0768">
        <w:rPr>
          <w:rFonts w:eastAsia="Calibri"/>
          <w:sz w:val="22"/>
          <w:szCs w:val="22"/>
        </w:rPr>
        <w:t xml:space="preserve">, F.A.C., </w:t>
      </w:r>
      <w:r>
        <w:rPr>
          <w:sz w:val="22"/>
          <w:szCs w:val="22"/>
        </w:rPr>
        <w:t>a stationary source is a “major stationary source” (major PSD source) if it emits or has the potential to emit (PTE):</w:t>
      </w:r>
    </w:p>
    <w:p w:rsidR="00A56796" w:rsidRPr="00D94522" w:rsidRDefault="00A56796" w:rsidP="00A56796">
      <w:pPr>
        <w:pStyle w:val="Default"/>
        <w:numPr>
          <w:ilvl w:val="0"/>
          <w:numId w:val="15"/>
        </w:numPr>
        <w:spacing w:after="60"/>
        <w:ind w:left="360"/>
        <w:rPr>
          <w:rFonts w:eastAsia="Calibri"/>
          <w:sz w:val="22"/>
          <w:szCs w:val="22"/>
        </w:rPr>
      </w:pPr>
      <w:r>
        <w:rPr>
          <w:sz w:val="22"/>
          <w:szCs w:val="22"/>
        </w:rPr>
        <w:t xml:space="preserve">250 tons per year (tons/year) or more of any PSD pollutant; </w:t>
      </w:r>
      <w:r w:rsidRPr="00AF28AC">
        <w:rPr>
          <w:sz w:val="22"/>
          <w:szCs w:val="22"/>
          <w:u w:val="single"/>
        </w:rPr>
        <w:t>or</w:t>
      </w:r>
      <w:r>
        <w:rPr>
          <w:sz w:val="22"/>
          <w:szCs w:val="22"/>
        </w:rPr>
        <w:t xml:space="preserve"> </w:t>
      </w:r>
    </w:p>
    <w:p w:rsidR="00A56796" w:rsidRPr="00A56796" w:rsidRDefault="00A56796" w:rsidP="00A56796">
      <w:pPr>
        <w:pStyle w:val="Default"/>
        <w:numPr>
          <w:ilvl w:val="0"/>
          <w:numId w:val="15"/>
        </w:numPr>
        <w:spacing w:after="60"/>
        <w:ind w:left="360"/>
        <w:rPr>
          <w:rFonts w:eastAsia="Calibri"/>
          <w:sz w:val="22"/>
          <w:szCs w:val="22"/>
        </w:rPr>
      </w:pPr>
      <w:r>
        <w:rPr>
          <w:sz w:val="22"/>
          <w:szCs w:val="22"/>
        </w:rPr>
        <w:t xml:space="preserve">100 tons/year or more of any PSD pollutant </w:t>
      </w:r>
      <w:r w:rsidRPr="00AF28AC">
        <w:rPr>
          <w:sz w:val="22"/>
          <w:szCs w:val="22"/>
          <w:u w:val="single"/>
        </w:rPr>
        <w:t>and</w:t>
      </w:r>
      <w:r>
        <w:rPr>
          <w:sz w:val="22"/>
          <w:szCs w:val="22"/>
        </w:rPr>
        <w:t xml:space="preserve"> the facility belongs to one of the 28 listed PSD major facility categories.</w:t>
      </w:r>
    </w:p>
    <w:p w:rsidR="00A56796" w:rsidRDefault="00A56796" w:rsidP="00A56796">
      <w:pPr>
        <w:widowControl w:val="0"/>
        <w:spacing w:after="120"/>
        <w:rPr>
          <w:rFonts w:eastAsia="Calibri"/>
          <w:sz w:val="22"/>
          <w:szCs w:val="22"/>
        </w:rPr>
      </w:pPr>
      <w:r w:rsidRPr="00B81C9A">
        <w:rPr>
          <w:rFonts w:eastAsia="Calibri"/>
          <w:sz w:val="22"/>
          <w:szCs w:val="22"/>
        </w:rPr>
        <w:t>The list given in the citation includes the category of “</w:t>
      </w:r>
      <w:r w:rsidRPr="00A56796">
        <w:rPr>
          <w:rFonts w:eastAsia="Calibri"/>
          <w:sz w:val="22"/>
          <w:szCs w:val="22"/>
        </w:rPr>
        <w:t>Kraft pulp mills</w:t>
      </w:r>
      <w:r w:rsidRPr="00B81C9A">
        <w:rPr>
          <w:rFonts w:eastAsia="Calibri"/>
          <w:sz w:val="22"/>
          <w:szCs w:val="22"/>
        </w:rPr>
        <w:t xml:space="preserve">”.  The given category applies to the </w:t>
      </w:r>
      <w:r>
        <w:rPr>
          <w:rFonts w:eastAsia="Calibri"/>
          <w:sz w:val="22"/>
          <w:szCs w:val="22"/>
        </w:rPr>
        <w:t>facility</w:t>
      </w:r>
      <w:r w:rsidRPr="00B81C9A">
        <w:rPr>
          <w:rFonts w:eastAsia="Calibri"/>
          <w:sz w:val="22"/>
          <w:szCs w:val="22"/>
        </w:rPr>
        <w:t xml:space="preserve"> before and after the proposed project.  The </w:t>
      </w:r>
      <w:r>
        <w:rPr>
          <w:rFonts w:eastAsia="Calibri"/>
          <w:sz w:val="22"/>
          <w:szCs w:val="22"/>
        </w:rPr>
        <w:t xml:space="preserve">Palatka Mill </w:t>
      </w:r>
      <w:r w:rsidRPr="00B81C9A">
        <w:rPr>
          <w:rFonts w:eastAsia="Calibri"/>
          <w:sz w:val="22"/>
          <w:szCs w:val="22"/>
        </w:rPr>
        <w:t xml:space="preserve">is a major stationary source based on actual emissions of and potential to emit </w:t>
      </w:r>
      <w:r>
        <w:rPr>
          <w:rFonts w:eastAsia="Calibri"/>
          <w:sz w:val="22"/>
          <w:szCs w:val="22"/>
        </w:rPr>
        <w:t>100</w:t>
      </w:r>
      <w:r w:rsidRPr="00B81C9A">
        <w:rPr>
          <w:rFonts w:eastAsia="Calibri"/>
          <w:sz w:val="22"/>
          <w:szCs w:val="22"/>
        </w:rPr>
        <w:t xml:space="preserve"> tons/year or more of several individual PSD pollutants.</w:t>
      </w:r>
      <w:r w:rsidRPr="005C0768">
        <w:rPr>
          <w:rFonts w:eastAsia="Calibri"/>
          <w:sz w:val="22"/>
          <w:szCs w:val="22"/>
        </w:rPr>
        <w:t xml:space="preserve">  </w:t>
      </w:r>
    </w:p>
    <w:p w:rsidR="00A56796" w:rsidRPr="005C0768" w:rsidRDefault="00A56796" w:rsidP="00A56796">
      <w:pPr>
        <w:widowControl w:val="0"/>
        <w:spacing w:after="120"/>
        <w:rPr>
          <w:rFonts w:eastAsia="Calibri"/>
          <w:sz w:val="22"/>
          <w:szCs w:val="22"/>
        </w:rPr>
      </w:pPr>
      <w:r w:rsidRPr="005C0768">
        <w:rPr>
          <w:rFonts w:eastAsia="Calibri"/>
          <w:sz w:val="22"/>
          <w:szCs w:val="22"/>
        </w:rPr>
        <w:t>For major stationary sources</w:t>
      </w:r>
      <w:r>
        <w:rPr>
          <w:rFonts w:eastAsia="Calibri"/>
          <w:sz w:val="22"/>
          <w:szCs w:val="22"/>
        </w:rPr>
        <w:t xml:space="preserve"> such as the Palatka Mill</w:t>
      </w:r>
      <w:r w:rsidRPr="005C0768">
        <w:rPr>
          <w:rFonts w:eastAsia="Calibri"/>
          <w:sz w:val="22"/>
          <w:szCs w:val="22"/>
        </w:rPr>
        <w:t xml:space="preserve">, PSD applicability </w:t>
      </w:r>
      <w:r>
        <w:rPr>
          <w:rFonts w:eastAsia="Calibri"/>
          <w:sz w:val="22"/>
          <w:szCs w:val="22"/>
        </w:rPr>
        <w:t xml:space="preserve">for modification projects </w:t>
      </w:r>
      <w:r w:rsidRPr="005C0768">
        <w:rPr>
          <w:rFonts w:eastAsia="Calibri"/>
          <w:sz w:val="22"/>
          <w:szCs w:val="22"/>
        </w:rPr>
        <w:t>is based on thresholds known as the significant emission rates (SER</w:t>
      </w:r>
      <w:r>
        <w:rPr>
          <w:rFonts w:eastAsia="Calibri"/>
          <w:sz w:val="22"/>
          <w:szCs w:val="22"/>
        </w:rPr>
        <w:t xml:space="preserve">) as defined in Rule 62-210.200(Definitions), </w:t>
      </w:r>
      <w:r w:rsidRPr="005C0768">
        <w:rPr>
          <w:rFonts w:eastAsia="Calibri"/>
          <w:sz w:val="22"/>
          <w:szCs w:val="22"/>
        </w:rPr>
        <w:t xml:space="preserve">F.A.C.  </w:t>
      </w:r>
      <w:r>
        <w:rPr>
          <w:rFonts w:eastAsia="Calibri"/>
          <w:sz w:val="22"/>
          <w:szCs w:val="22"/>
        </w:rPr>
        <w:t>Any “net e</w:t>
      </w:r>
      <w:r w:rsidRPr="005C0768">
        <w:rPr>
          <w:rFonts w:eastAsia="Calibri"/>
          <w:sz w:val="22"/>
          <w:szCs w:val="22"/>
        </w:rPr>
        <w:t xml:space="preserve">missions </w:t>
      </w:r>
      <w:r>
        <w:rPr>
          <w:rFonts w:eastAsia="Calibri"/>
          <w:sz w:val="22"/>
          <w:szCs w:val="22"/>
        </w:rPr>
        <w:t xml:space="preserve">increase” as defined in Rule 62-210.200(Definitions), F.A.C. </w:t>
      </w:r>
      <w:r w:rsidRPr="005C0768">
        <w:rPr>
          <w:rFonts w:eastAsia="Calibri"/>
          <w:sz w:val="22"/>
          <w:szCs w:val="22"/>
        </w:rPr>
        <w:t xml:space="preserve">of </w:t>
      </w:r>
      <w:r>
        <w:rPr>
          <w:rFonts w:eastAsia="Calibri"/>
          <w:sz w:val="22"/>
          <w:szCs w:val="22"/>
        </w:rPr>
        <w:t xml:space="preserve">a </w:t>
      </w:r>
      <w:r w:rsidRPr="005C0768">
        <w:rPr>
          <w:rFonts w:eastAsia="Calibri"/>
          <w:sz w:val="22"/>
          <w:szCs w:val="22"/>
        </w:rPr>
        <w:t>PSD pollutant from the project that equal</w:t>
      </w:r>
      <w:r>
        <w:rPr>
          <w:rFonts w:eastAsia="Calibri"/>
          <w:sz w:val="22"/>
          <w:szCs w:val="22"/>
        </w:rPr>
        <w:t>s</w:t>
      </w:r>
      <w:r w:rsidRPr="005C0768">
        <w:rPr>
          <w:rFonts w:eastAsia="Calibri"/>
          <w:sz w:val="22"/>
          <w:szCs w:val="22"/>
        </w:rPr>
        <w:t xml:space="preserve"> or exceed</w:t>
      </w:r>
      <w:r>
        <w:rPr>
          <w:rFonts w:eastAsia="Calibri"/>
          <w:sz w:val="22"/>
          <w:szCs w:val="22"/>
        </w:rPr>
        <w:t>s</w:t>
      </w:r>
      <w:r w:rsidRPr="005C0768">
        <w:rPr>
          <w:rFonts w:eastAsia="Calibri"/>
          <w:sz w:val="22"/>
          <w:szCs w:val="22"/>
        </w:rPr>
        <w:t xml:space="preserve"> the</w:t>
      </w:r>
      <w:r>
        <w:rPr>
          <w:rFonts w:eastAsia="Calibri"/>
          <w:sz w:val="22"/>
          <w:szCs w:val="22"/>
        </w:rPr>
        <w:t xml:space="preserve"> respective </w:t>
      </w:r>
      <w:r w:rsidRPr="005C0768">
        <w:rPr>
          <w:rFonts w:eastAsia="Calibri"/>
          <w:sz w:val="22"/>
          <w:szCs w:val="22"/>
        </w:rPr>
        <w:t>SER</w:t>
      </w:r>
      <w:r>
        <w:rPr>
          <w:rFonts w:eastAsia="Calibri"/>
          <w:sz w:val="22"/>
          <w:szCs w:val="22"/>
        </w:rPr>
        <w:t xml:space="preserve"> is </w:t>
      </w:r>
      <w:r w:rsidRPr="005C0768">
        <w:rPr>
          <w:rFonts w:eastAsia="Calibri"/>
          <w:sz w:val="22"/>
          <w:szCs w:val="22"/>
        </w:rPr>
        <w:t>considered “significant”.  SER also means any emissions rate or any net emissions increase of a PSD pollutant associated with a major stationary source or major modification which would construct within 10 k</w:t>
      </w:r>
      <w:r>
        <w:rPr>
          <w:rFonts w:eastAsia="Calibri"/>
          <w:sz w:val="22"/>
          <w:szCs w:val="22"/>
        </w:rPr>
        <w:t>m</w:t>
      </w:r>
      <w:r w:rsidRPr="005C0768">
        <w:rPr>
          <w:rFonts w:eastAsia="Calibri"/>
          <w:sz w:val="22"/>
          <w:szCs w:val="22"/>
        </w:rPr>
        <w:t xml:space="preserve"> of a Class I area and have an impact on such area equal to or greater than 1 gram per cubic meter, 24-hour average.  </w:t>
      </w:r>
    </w:p>
    <w:p w:rsidR="00A56796" w:rsidRPr="005F3991" w:rsidRDefault="00A56796" w:rsidP="00A56796">
      <w:pPr>
        <w:widowControl w:val="0"/>
        <w:spacing w:after="120"/>
        <w:rPr>
          <w:rFonts w:eastAsia="Calibri"/>
          <w:sz w:val="22"/>
          <w:szCs w:val="22"/>
        </w:rPr>
      </w:pPr>
      <w:r w:rsidRPr="005F3991">
        <w:rPr>
          <w:rFonts w:eastAsia="Calibri"/>
          <w:sz w:val="22"/>
          <w:szCs w:val="22"/>
        </w:rPr>
        <w:t>Although a facility may be “major” (i.e. emits or has the potential to emit 100 or 250 TPY as applicable) for only one PSD pollutant, a project must include BACT controls for any PSD pollutant that exceeds the corresponding significant emission rates given in</w:t>
      </w:r>
      <w:r>
        <w:rPr>
          <w:rFonts w:eastAsia="Calibri"/>
          <w:sz w:val="22"/>
          <w:szCs w:val="22"/>
        </w:rPr>
        <w:t xml:space="preserve"> the </w:t>
      </w:r>
      <w:r w:rsidR="001A09F7">
        <w:rPr>
          <w:rFonts w:eastAsia="Calibri"/>
          <w:sz w:val="22"/>
          <w:szCs w:val="22"/>
        </w:rPr>
        <w:fldChar w:fldCharType="begin"/>
      </w:r>
      <w:r w:rsidR="00CE4ADB">
        <w:rPr>
          <w:rFonts w:eastAsia="Calibri"/>
          <w:sz w:val="22"/>
          <w:szCs w:val="22"/>
        </w:rPr>
        <w:instrText xml:space="preserve"> REF _Ref344887586 \h </w:instrText>
      </w:r>
      <w:r w:rsidR="001A09F7">
        <w:rPr>
          <w:rFonts w:eastAsia="Calibri"/>
          <w:sz w:val="22"/>
          <w:szCs w:val="22"/>
        </w:rPr>
      </w:r>
      <w:r w:rsidR="001A09F7">
        <w:rPr>
          <w:rFonts w:eastAsia="Calibri"/>
          <w:sz w:val="22"/>
          <w:szCs w:val="22"/>
        </w:rPr>
        <w:fldChar w:fldCharType="separate"/>
      </w:r>
      <w:r w:rsidR="00CE4ADB">
        <w:t xml:space="preserve">Table </w:t>
      </w:r>
      <w:r w:rsidR="00CE4ADB">
        <w:rPr>
          <w:noProof/>
        </w:rPr>
        <w:t>1</w:t>
      </w:r>
      <w:r w:rsidR="001A09F7">
        <w:rPr>
          <w:rFonts w:eastAsia="Calibri"/>
          <w:sz w:val="22"/>
          <w:szCs w:val="22"/>
        </w:rPr>
        <w:fldChar w:fldCharType="end"/>
      </w:r>
      <w:r w:rsidR="00CE4ADB">
        <w:rPr>
          <w:rFonts w:eastAsia="Calibri"/>
          <w:sz w:val="22"/>
          <w:szCs w:val="22"/>
        </w:rPr>
        <w:t xml:space="preserve"> </w:t>
      </w:r>
      <w:r>
        <w:rPr>
          <w:rFonts w:eastAsia="Calibri"/>
          <w:sz w:val="22"/>
          <w:szCs w:val="22"/>
        </w:rPr>
        <w:t>below</w:t>
      </w:r>
      <w:r w:rsidRPr="005F3991">
        <w:rPr>
          <w:rFonts w:eastAsia="Calibri"/>
          <w:sz w:val="22"/>
          <w:szCs w:val="22"/>
        </w:rPr>
        <w:t>.</w:t>
      </w:r>
    </w:p>
    <w:p w:rsidR="00A56796" w:rsidRPr="00DC3588" w:rsidRDefault="00CE4ADB" w:rsidP="00CE4ADB">
      <w:pPr>
        <w:pStyle w:val="Caption"/>
        <w:spacing w:before="0"/>
        <w:jc w:val="center"/>
        <w:rPr>
          <w:caps w:val="0"/>
          <w:color w:val="000000"/>
          <w:szCs w:val="22"/>
        </w:rPr>
      </w:pPr>
      <w:bookmarkStart w:id="0" w:name="_Ref344887586"/>
      <w:r w:rsidRPr="00CE4ADB">
        <w:rPr>
          <w:rFonts w:ascii="Times New Roman Bold" w:hAnsi="Times New Roman Bold"/>
          <w:caps w:val="0"/>
        </w:rPr>
        <w:t>Table</w:t>
      </w:r>
      <w:r>
        <w:t xml:space="preserve"> </w:t>
      </w:r>
      <w:fldSimple w:instr=" SEQ Table \* ARABIC ">
        <w:r>
          <w:rPr>
            <w:noProof/>
          </w:rPr>
          <w:t>1</w:t>
        </w:r>
      </w:fldSimple>
      <w:bookmarkEnd w:id="0"/>
      <w:r>
        <w:t xml:space="preserve"> - </w:t>
      </w:r>
      <w:r w:rsidR="00A56796" w:rsidRPr="00DC3588">
        <w:rPr>
          <w:caps w:val="0"/>
          <w:color w:val="000000"/>
          <w:szCs w:val="22"/>
        </w:rPr>
        <w:t>List of SER by PSD-Pollutant</w:t>
      </w:r>
      <w:r w:rsidR="00A56796">
        <w:rPr>
          <w:caps w:val="0"/>
          <w:color w:val="000000"/>
          <w:szCs w:val="22"/>
        </w:rPr>
        <w:t>.</w:t>
      </w:r>
      <w:r w:rsidR="00A56796" w:rsidRPr="00DC3588">
        <w:rPr>
          <w:caps w:val="0"/>
          <w:color w:val="000000"/>
          <w:szCs w:val="22"/>
        </w:rPr>
        <w:t xml:space="preserve"> </w:t>
      </w:r>
      <w:r w:rsidR="00A56796" w:rsidRPr="00DC3588">
        <w:rPr>
          <w:caps w:val="0"/>
          <w:color w:val="000000"/>
          <w:szCs w:val="22"/>
          <w:vertAlign w:val="superscript"/>
        </w:rPr>
        <w:t>1, 3</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280"/>
        <w:gridCol w:w="2640"/>
        <w:gridCol w:w="2160"/>
        <w:gridCol w:w="2280"/>
      </w:tblGrid>
      <w:tr w:rsidR="00A56796" w:rsidRPr="005C0768" w:rsidTr="00A56796">
        <w:trPr>
          <w:trHeight w:val="290"/>
          <w:tblHeader/>
        </w:trPr>
        <w:tc>
          <w:tcPr>
            <w:tcW w:w="22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A56796" w:rsidRPr="00ED3873" w:rsidRDefault="00A56796" w:rsidP="00ED3873">
            <w:pPr>
              <w:autoSpaceDE w:val="0"/>
              <w:autoSpaceDN w:val="0"/>
              <w:adjustRightInd w:val="0"/>
              <w:spacing w:before="20" w:after="20"/>
              <w:jc w:val="center"/>
              <w:rPr>
                <w:b/>
                <w:color w:val="000000"/>
              </w:rPr>
            </w:pPr>
            <w:r w:rsidRPr="00ED3873">
              <w:rPr>
                <w:b/>
                <w:color w:val="000000"/>
              </w:rPr>
              <w:t>Pollutant</w:t>
            </w:r>
          </w:p>
        </w:tc>
        <w:tc>
          <w:tcPr>
            <w:tcW w:w="2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A56796" w:rsidRPr="00ED3873" w:rsidRDefault="00A56796" w:rsidP="00ED3873">
            <w:pPr>
              <w:autoSpaceDE w:val="0"/>
              <w:autoSpaceDN w:val="0"/>
              <w:adjustRightInd w:val="0"/>
              <w:spacing w:before="20" w:after="20"/>
              <w:jc w:val="center"/>
              <w:rPr>
                <w:b/>
                <w:color w:val="000000"/>
              </w:rPr>
            </w:pPr>
            <w:r w:rsidRPr="00ED3873">
              <w:rPr>
                <w:b/>
                <w:color w:val="000000"/>
              </w:rPr>
              <w:t>SER (TPY)</w:t>
            </w:r>
          </w:p>
        </w:tc>
        <w:tc>
          <w:tcPr>
            <w:tcW w:w="21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A56796" w:rsidRPr="00ED3873" w:rsidRDefault="00A56796" w:rsidP="00ED3873">
            <w:pPr>
              <w:autoSpaceDE w:val="0"/>
              <w:autoSpaceDN w:val="0"/>
              <w:adjustRightInd w:val="0"/>
              <w:spacing w:before="20" w:after="20"/>
              <w:jc w:val="center"/>
              <w:rPr>
                <w:b/>
                <w:color w:val="000000"/>
              </w:rPr>
            </w:pPr>
            <w:r w:rsidRPr="00ED3873">
              <w:rPr>
                <w:b/>
                <w:color w:val="000000"/>
              </w:rPr>
              <w:t>Pollutant</w:t>
            </w:r>
          </w:p>
        </w:tc>
        <w:tc>
          <w:tcPr>
            <w:tcW w:w="22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A56796" w:rsidRPr="00ED3873" w:rsidRDefault="00A56796" w:rsidP="00ED3873">
            <w:pPr>
              <w:autoSpaceDE w:val="0"/>
              <w:autoSpaceDN w:val="0"/>
              <w:adjustRightInd w:val="0"/>
              <w:spacing w:before="20" w:after="20"/>
              <w:jc w:val="center"/>
              <w:rPr>
                <w:b/>
                <w:color w:val="000000"/>
              </w:rPr>
            </w:pPr>
            <w:r w:rsidRPr="00ED3873">
              <w:rPr>
                <w:b/>
                <w:color w:val="000000"/>
              </w:rPr>
              <w:t>SER (TPY)</w:t>
            </w:r>
          </w:p>
        </w:tc>
      </w:tr>
      <w:tr w:rsidR="00A56796" w:rsidRPr="005C0768" w:rsidTr="00A56796">
        <w:trPr>
          <w:trHeight w:val="264"/>
        </w:trPr>
        <w:tc>
          <w:tcPr>
            <w:tcW w:w="2280" w:type="dxa"/>
            <w:tcBorders>
              <w:top w:val="single" w:sz="4" w:space="0" w:color="auto"/>
              <w:left w:val="single" w:sz="4" w:space="0" w:color="auto"/>
              <w:bottom w:val="single" w:sz="6" w:space="0" w:color="000000"/>
              <w:right w:val="single" w:sz="4" w:space="0" w:color="auto"/>
            </w:tcBorders>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CO</w:t>
            </w:r>
          </w:p>
        </w:tc>
        <w:tc>
          <w:tcPr>
            <w:tcW w:w="2640" w:type="dxa"/>
            <w:tcBorders>
              <w:top w:val="single" w:sz="4" w:space="0" w:color="auto"/>
              <w:left w:val="single" w:sz="4" w:space="0" w:color="auto"/>
              <w:bottom w:val="single" w:sz="6" w:space="0" w:color="000000"/>
              <w:right w:val="single" w:sz="4" w:space="0" w:color="auto"/>
            </w:tcBorders>
            <w:shd w:val="clear" w:color="auto" w:fill="DAEEF3" w:themeFill="accent5" w:themeFillTint="33"/>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100</w:t>
            </w:r>
          </w:p>
        </w:tc>
        <w:tc>
          <w:tcPr>
            <w:tcW w:w="2160" w:type="dxa"/>
            <w:tcBorders>
              <w:top w:val="single" w:sz="4" w:space="0" w:color="auto"/>
              <w:left w:val="single" w:sz="4" w:space="0" w:color="auto"/>
              <w:bottom w:val="single" w:sz="6" w:space="0" w:color="000000"/>
              <w:right w:val="single" w:sz="4" w:space="0" w:color="auto"/>
            </w:tcBorders>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NO</w:t>
            </w:r>
            <w:r w:rsidRPr="00ED3873">
              <w:rPr>
                <w:color w:val="000000"/>
                <w:vertAlign w:val="subscript"/>
              </w:rPr>
              <w:t>X</w:t>
            </w:r>
          </w:p>
        </w:tc>
        <w:tc>
          <w:tcPr>
            <w:tcW w:w="2280" w:type="dxa"/>
            <w:tcBorders>
              <w:top w:val="single" w:sz="4" w:space="0" w:color="auto"/>
              <w:left w:val="single" w:sz="4" w:space="0" w:color="auto"/>
              <w:bottom w:val="single" w:sz="6" w:space="0" w:color="000000"/>
              <w:right w:val="single" w:sz="4" w:space="0" w:color="auto"/>
            </w:tcBorders>
            <w:shd w:val="clear" w:color="auto" w:fill="DAEEF3" w:themeFill="accent5" w:themeFillTint="33"/>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40</w:t>
            </w:r>
          </w:p>
        </w:tc>
      </w:tr>
      <w:tr w:rsidR="00A56796" w:rsidRPr="005C0768" w:rsidTr="00A56796">
        <w:trPr>
          <w:trHeight w:val="264"/>
        </w:trPr>
        <w:tc>
          <w:tcPr>
            <w:tcW w:w="2280" w:type="dxa"/>
            <w:tcBorders>
              <w:top w:val="single" w:sz="6" w:space="0" w:color="000000"/>
              <w:left w:val="single" w:sz="4" w:space="0" w:color="auto"/>
              <w:bottom w:val="single" w:sz="6" w:space="0" w:color="000000"/>
              <w:right w:val="single" w:sz="4" w:space="0" w:color="auto"/>
            </w:tcBorders>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PM/PM</w:t>
            </w:r>
            <w:r w:rsidRPr="00ED3873">
              <w:rPr>
                <w:vertAlign w:val="subscript"/>
              </w:rPr>
              <w:t>10</w:t>
            </w:r>
            <w:r w:rsidRPr="00ED3873">
              <w:rPr>
                <w:color w:val="000000"/>
              </w:rPr>
              <w:t>/PM</w:t>
            </w:r>
            <w:r w:rsidRPr="00ED3873">
              <w:rPr>
                <w:color w:val="000000"/>
                <w:vertAlign w:val="subscript"/>
              </w:rPr>
              <w:t>2.5</w:t>
            </w:r>
          </w:p>
        </w:tc>
        <w:tc>
          <w:tcPr>
            <w:tcW w:w="2640" w:type="dxa"/>
            <w:tcBorders>
              <w:top w:val="single" w:sz="6" w:space="0" w:color="000000"/>
              <w:left w:val="single" w:sz="4" w:space="0" w:color="auto"/>
              <w:bottom w:val="single" w:sz="6" w:space="0" w:color="000000"/>
              <w:right w:val="single" w:sz="4" w:space="0" w:color="auto"/>
            </w:tcBorders>
            <w:shd w:val="clear" w:color="auto" w:fill="DAEEF3" w:themeFill="accent5" w:themeFillTint="33"/>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25/15/10</w:t>
            </w:r>
          </w:p>
        </w:tc>
        <w:tc>
          <w:tcPr>
            <w:tcW w:w="2160" w:type="dxa"/>
            <w:tcBorders>
              <w:top w:val="single" w:sz="6" w:space="0" w:color="000000"/>
              <w:left w:val="single" w:sz="4" w:space="0" w:color="auto"/>
              <w:bottom w:val="single" w:sz="6" w:space="0" w:color="000000"/>
              <w:right w:val="single" w:sz="4" w:space="0" w:color="auto"/>
            </w:tcBorders>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 xml:space="preserve">Ozone (VOC) </w:t>
            </w:r>
            <w:r w:rsidRPr="00ED3873">
              <w:rPr>
                <w:b/>
                <w:color w:val="000000"/>
                <w:vertAlign w:val="superscript"/>
              </w:rPr>
              <w:t>2</w:t>
            </w:r>
          </w:p>
        </w:tc>
        <w:tc>
          <w:tcPr>
            <w:tcW w:w="2280" w:type="dxa"/>
            <w:tcBorders>
              <w:top w:val="single" w:sz="6" w:space="0" w:color="000000"/>
              <w:left w:val="single" w:sz="4" w:space="0" w:color="auto"/>
              <w:bottom w:val="single" w:sz="6" w:space="0" w:color="000000"/>
              <w:right w:val="single" w:sz="4" w:space="0" w:color="auto"/>
            </w:tcBorders>
            <w:shd w:val="clear" w:color="auto" w:fill="DAEEF3" w:themeFill="accent5" w:themeFillTint="33"/>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40</w:t>
            </w:r>
          </w:p>
        </w:tc>
      </w:tr>
      <w:tr w:rsidR="00A56796" w:rsidRPr="005C0768" w:rsidTr="00A56796">
        <w:trPr>
          <w:trHeight w:val="264"/>
        </w:trPr>
        <w:tc>
          <w:tcPr>
            <w:tcW w:w="2280" w:type="dxa"/>
            <w:tcBorders>
              <w:top w:val="single" w:sz="6" w:space="0" w:color="000000"/>
              <w:left w:val="single" w:sz="4" w:space="0" w:color="auto"/>
              <w:bottom w:val="single" w:sz="6" w:space="0" w:color="000000"/>
              <w:right w:val="single" w:sz="4" w:space="0" w:color="auto"/>
            </w:tcBorders>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PM</w:t>
            </w:r>
            <w:r w:rsidRPr="00ED3873">
              <w:rPr>
                <w:color w:val="000000"/>
                <w:vertAlign w:val="subscript"/>
              </w:rPr>
              <w:t>2.5</w:t>
            </w:r>
            <w:r w:rsidRPr="00ED3873">
              <w:rPr>
                <w:color w:val="000000"/>
              </w:rPr>
              <w:t xml:space="preserve"> (NO</w:t>
            </w:r>
            <w:r w:rsidRPr="00ED3873">
              <w:rPr>
                <w:vertAlign w:val="subscript"/>
              </w:rPr>
              <w:t>X</w:t>
            </w:r>
            <w:r w:rsidRPr="00ED3873">
              <w:rPr>
                <w:color w:val="000000"/>
              </w:rPr>
              <w:t>)</w:t>
            </w:r>
          </w:p>
        </w:tc>
        <w:tc>
          <w:tcPr>
            <w:tcW w:w="2640" w:type="dxa"/>
            <w:tcBorders>
              <w:top w:val="single" w:sz="6" w:space="0" w:color="000000"/>
              <w:left w:val="single" w:sz="4" w:space="0" w:color="auto"/>
              <w:bottom w:val="single" w:sz="6" w:space="0" w:color="000000"/>
              <w:right w:val="single" w:sz="4" w:space="0" w:color="auto"/>
            </w:tcBorders>
            <w:shd w:val="clear" w:color="auto" w:fill="DAEEF3" w:themeFill="accent5" w:themeFillTint="33"/>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40</w:t>
            </w:r>
          </w:p>
        </w:tc>
        <w:tc>
          <w:tcPr>
            <w:tcW w:w="2160" w:type="dxa"/>
            <w:tcBorders>
              <w:top w:val="single" w:sz="6" w:space="0" w:color="000000"/>
              <w:left w:val="single" w:sz="4" w:space="0" w:color="auto"/>
              <w:bottom w:val="single" w:sz="6" w:space="0" w:color="000000"/>
              <w:right w:val="single" w:sz="4" w:space="0" w:color="auto"/>
            </w:tcBorders>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PM</w:t>
            </w:r>
            <w:r w:rsidRPr="00ED3873">
              <w:rPr>
                <w:color w:val="000000"/>
                <w:vertAlign w:val="subscript"/>
              </w:rPr>
              <w:t>2.5</w:t>
            </w:r>
            <w:r w:rsidRPr="00ED3873">
              <w:rPr>
                <w:color w:val="000000"/>
              </w:rPr>
              <w:t xml:space="preserve"> (SO</w:t>
            </w:r>
            <w:r w:rsidRPr="00ED3873">
              <w:rPr>
                <w:vertAlign w:val="subscript"/>
              </w:rPr>
              <w:t>2</w:t>
            </w:r>
            <w:r w:rsidRPr="00ED3873">
              <w:rPr>
                <w:color w:val="000000"/>
              </w:rPr>
              <w:t>)</w:t>
            </w:r>
          </w:p>
        </w:tc>
        <w:tc>
          <w:tcPr>
            <w:tcW w:w="2280" w:type="dxa"/>
            <w:tcBorders>
              <w:top w:val="single" w:sz="6" w:space="0" w:color="000000"/>
              <w:left w:val="single" w:sz="4" w:space="0" w:color="auto"/>
              <w:bottom w:val="single" w:sz="6" w:space="0" w:color="000000"/>
              <w:right w:val="single" w:sz="4" w:space="0" w:color="auto"/>
            </w:tcBorders>
            <w:shd w:val="clear" w:color="auto" w:fill="DAEEF3" w:themeFill="accent5" w:themeFillTint="33"/>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40</w:t>
            </w:r>
          </w:p>
        </w:tc>
      </w:tr>
      <w:tr w:rsidR="00A56796" w:rsidRPr="005C0768" w:rsidTr="00A56796">
        <w:trPr>
          <w:trHeight w:val="246"/>
        </w:trPr>
        <w:tc>
          <w:tcPr>
            <w:tcW w:w="2280" w:type="dxa"/>
            <w:tcBorders>
              <w:top w:val="single" w:sz="6" w:space="0" w:color="000000"/>
              <w:left w:val="single" w:sz="4" w:space="0" w:color="auto"/>
              <w:bottom w:val="single" w:sz="6" w:space="0" w:color="000000"/>
              <w:right w:val="single" w:sz="4" w:space="0" w:color="auto"/>
            </w:tcBorders>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Ozone (NO</w:t>
            </w:r>
            <w:r w:rsidRPr="00ED3873">
              <w:rPr>
                <w:vertAlign w:val="subscript"/>
              </w:rPr>
              <w:t>X</w:t>
            </w:r>
            <w:r w:rsidRPr="00ED3873">
              <w:rPr>
                <w:color w:val="000000"/>
              </w:rPr>
              <w:t xml:space="preserve">) </w:t>
            </w:r>
            <w:r w:rsidRPr="00ED3873">
              <w:rPr>
                <w:b/>
                <w:color w:val="000000"/>
                <w:vertAlign w:val="superscript"/>
              </w:rPr>
              <w:t>2</w:t>
            </w:r>
          </w:p>
        </w:tc>
        <w:tc>
          <w:tcPr>
            <w:tcW w:w="2640" w:type="dxa"/>
            <w:tcBorders>
              <w:top w:val="single" w:sz="4" w:space="0" w:color="auto"/>
              <w:left w:val="single" w:sz="4" w:space="0" w:color="auto"/>
              <w:bottom w:val="single" w:sz="6" w:space="0" w:color="000000"/>
              <w:right w:val="single" w:sz="4" w:space="0" w:color="auto"/>
            </w:tcBorders>
            <w:shd w:val="clear" w:color="auto" w:fill="DAEEF3" w:themeFill="accent5" w:themeFillTint="33"/>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40</w:t>
            </w:r>
          </w:p>
        </w:tc>
        <w:tc>
          <w:tcPr>
            <w:tcW w:w="2160" w:type="dxa"/>
            <w:tcBorders>
              <w:top w:val="single" w:sz="6" w:space="0" w:color="000000"/>
              <w:left w:val="single" w:sz="4" w:space="0" w:color="auto"/>
              <w:bottom w:val="single" w:sz="6" w:space="0" w:color="000000"/>
              <w:right w:val="single" w:sz="4" w:space="0" w:color="auto"/>
            </w:tcBorders>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SAM</w:t>
            </w:r>
          </w:p>
        </w:tc>
        <w:tc>
          <w:tcPr>
            <w:tcW w:w="2280" w:type="dxa"/>
            <w:tcBorders>
              <w:top w:val="single" w:sz="6" w:space="0" w:color="000000"/>
              <w:left w:val="single" w:sz="4" w:space="0" w:color="auto"/>
              <w:bottom w:val="single" w:sz="6" w:space="0" w:color="000000"/>
              <w:right w:val="single" w:sz="4" w:space="0" w:color="auto"/>
            </w:tcBorders>
            <w:shd w:val="clear" w:color="auto" w:fill="DAEEF3" w:themeFill="accent5" w:themeFillTint="33"/>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7</w:t>
            </w:r>
          </w:p>
        </w:tc>
      </w:tr>
      <w:tr w:rsidR="00A56796" w:rsidRPr="005C0768" w:rsidTr="00A56796">
        <w:trPr>
          <w:trHeight w:val="255"/>
        </w:trPr>
        <w:tc>
          <w:tcPr>
            <w:tcW w:w="2280" w:type="dxa"/>
            <w:tcBorders>
              <w:top w:val="single" w:sz="6" w:space="0" w:color="000000"/>
              <w:left w:val="single" w:sz="4" w:space="0" w:color="auto"/>
              <w:bottom w:val="single" w:sz="6" w:space="0" w:color="000000"/>
              <w:right w:val="single" w:sz="4" w:space="0" w:color="auto"/>
            </w:tcBorders>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SO</w:t>
            </w:r>
            <w:r w:rsidRPr="00ED3873">
              <w:rPr>
                <w:color w:val="000000"/>
                <w:vertAlign w:val="subscript"/>
              </w:rPr>
              <w:t>2</w:t>
            </w:r>
          </w:p>
        </w:tc>
        <w:tc>
          <w:tcPr>
            <w:tcW w:w="2640" w:type="dxa"/>
            <w:tcBorders>
              <w:top w:val="single" w:sz="6" w:space="0" w:color="000000"/>
              <w:left w:val="single" w:sz="4" w:space="0" w:color="auto"/>
              <w:bottom w:val="single" w:sz="6" w:space="0" w:color="000000"/>
              <w:right w:val="single" w:sz="4" w:space="0" w:color="auto"/>
            </w:tcBorders>
            <w:shd w:val="clear" w:color="auto" w:fill="DAEEF3" w:themeFill="accent5" w:themeFillTint="33"/>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40</w:t>
            </w:r>
          </w:p>
        </w:tc>
        <w:tc>
          <w:tcPr>
            <w:tcW w:w="2160" w:type="dxa"/>
            <w:tcBorders>
              <w:top w:val="single" w:sz="6" w:space="0" w:color="000000"/>
              <w:left w:val="single" w:sz="4" w:space="0" w:color="auto"/>
              <w:bottom w:val="single" w:sz="6" w:space="0" w:color="000000"/>
              <w:right w:val="single" w:sz="4" w:space="0" w:color="auto"/>
            </w:tcBorders>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Pb</w:t>
            </w:r>
          </w:p>
        </w:tc>
        <w:tc>
          <w:tcPr>
            <w:tcW w:w="2280" w:type="dxa"/>
            <w:tcBorders>
              <w:top w:val="single" w:sz="6" w:space="0" w:color="000000"/>
              <w:left w:val="single" w:sz="4" w:space="0" w:color="auto"/>
              <w:bottom w:val="single" w:sz="6" w:space="0" w:color="000000"/>
              <w:right w:val="single" w:sz="4" w:space="0" w:color="auto"/>
            </w:tcBorders>
            <w:shd w:val="clear" w:color="auto" w:fill="DAEEF3" w:themeFill="accent5" w:themeFillTint="33"/>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0.6</w:t>
            </w:r>
          </w:p>
        </w:tc>
      </w:tr>
      <w:tr w:rsidR="00A56796" w:rsidRPr="005C0768" w:rsidTr="00A56796">
        <w:trPr>
          <w:trHeight w:val="255"/>
        </w:trPr>
        <w:tc>
          <w:tcPr>
            <w:tcW w:w="2280" w:type="dxa"/>
            <w:tcBorders>
              <w:top w:val="single" w:sz="6" w:space="0" w:color="000000"/>
              <w:left w:val="single" w:sz="4" w:space="0" w:color="auto"/>
              <w:bottom w:val="single" w:sz="6" w:space="0" w:color="000000"/>
              <w:right w:val="single" w:sz="4" w:space="0" w:color="auto"/>
            </w:tcBorders>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lastRenderedPageBreak/>
              <w:t>Hg</w:t>
            </w:r>
          </w:p>
        </w:tc>
        <w:tc>
          <w:tcPr>
            <w:tcW w:w="2640" w:type="dxa"/>
            <w:tcBorders>
              <w:top w:val="single" w:sz="6" w:space="0" w:color="000000"/>
              <w:left w:val="single" w:sz="4" w:space="0" w:color="auto"/>
              <w:bottom w:val="single" w:sz="6" w:space="0" w:color="000000"/>
              <w:right w:val="single" w:sz="4" w:space="0" w:color="auto"/>
            </w:tcBorders>
            <w:shd w:val="clear" w:color="auto" w:fill="DAEEF3" w:themeFill="accent5" w:themeFillTint="33"/>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 xml:space="preserve">0.1 </w:t>
            </w:r>
          </w:p>
        </w:tc>
        <w:tc>
          <w:tcPr>
            <w:tcW w:w="2160" w:type="dxa"/>
            <w:tcBorders>
              <w:top w:val="single" w:sz="6" w:space="0" w:color="000000"/>
              <w:left w:val="single" w:sz="4" w:space="0" w:color="auto"/>
              <w:bottom w:val="single" w:sz="6" w:space="0" w:color="000000"/>
              <w:right w:val="single" w:sz="4" w:space="0" w:color="auto"/>
            </w:tcBorders>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GHG (CO</w:t>
            </w:r>
            <w:r w:rsidRPr="00ED3873">
              <w:rPr>
                <w:color w:val="000000"/>
                <w:vertAlign w:val="subscript"/>
              </w:rPr>
              <w:t>2</w:t>
            </w:r>
            <w:r w:rsidRPr="00ED3873">
              <w:rPr>
                <w:color w:val="000000"/>
              </w:rPr>
              <w:t>e)</w:t>
            </w:r>
          </w:p>
        </w:tc>
        <w:tc>
          <w:tcPr>
            <w:tcW w:w="2280" w:type="dxa"/>
            <w:tcBorders>
              <w:top w:val="single" w:sz="6" w:space="0" w:color="000000"/>
              <w:left w:val="single" w:sz="4" w:space="0" w:color="auto"/>
              <w:bottom w:val="single" w:sz="6" w:space="0" w:color="000000"/>
              <w:right w:val="single" w:sz="4" w:space="0" w:color="auto"/>
            </w:tcBorders>
            <w:shd w:val="clear" w:color="auto" w:fill="DAEEF3" w:themeFill="accent5" w:themeFillTint="33"/>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75,000</w:t>
            </w:r>
            <w:r w:rsidRPr="00ED3873">
              <w:rPr>
                <w:b/>
                <w:caps/>
                <w:color w:val="000000"/>
                <w:vertAlign w:val="superscript"/>
              </w:rPr>
              <w:t xml:space="preserve"> 3</w:t>
            </w:r>
          </w:p>
        </w:tc>
      </w:tr>
      <w:tr w:rsidR="00A56796" w:rsidRPr="005C0768" w:rsidTr="00A56796">
        <w:trPr>
          <w:trHeight w:val="311"/>
        </w:trPr>
        <w:tc>
          <w:tcPr>
            <w:tcW w:w="9360" w:type="dxa"/>
            <w:gridSpan w:val="4"/>
            <w:tcBorders>
              <w:top w:val="single" w:sz="4" w:space="0" w:color="auto"/>
              <w:left w:val="single" w:sz="4" w:space="0" w:color="auto"/>
              <w:bottom w:val="single" w:sz="4" w:space="0" w:color="auto"/>
              <w:right w:val="single" w:sz="4" w:space="0" w:color="auto"/>
            </w:tcBorders>
            <w:hideMark/>
          </w:tcPr>
          <w:p w:rsidR="00A56796" w:rsidRPr="005C0768" w:rsidRDefault="00A56796" w:rsidP="00A56796">
            <w:pPr>
              <w:numPr>
                <w:ilvl w:val="0"/>
                <w:numId w:val="16"/>
              </w:numPr>
              <w:tabs>
                <w:tab w:val="clear" w:pos="1080"/>
                <w:tab w:val="num" w:pos="342"/>
              </w:tabs>
              <w:autoSpaceDE w:val="0"/>
              <w:autoSpaceDN w:val="0"/>
              <w:adjustRightInd w:val="0"/>
              <w:spacing w:before="20"/>
              <w:ind w:left="342" w:hanging="328"/>
              <w:rPr>
                <w:color w:val="000000"/>
                <w:sz w:val="16"/>
                <w:szCs w:val="16"/>
              </w:rPr>
            </w:pPr>
            <w:r w:rsidRPr="005C0768">
              <w:rPr>
                <w:color w:val="000000"/>
                <w:sz w:val="16"/>
                <w:szCs w:val="16"/>
              </w:rPr>
              <w:t xml:space="preserve">Excluding </w:t>
            </w:r>
            <w:r>
              <w:rPr>
                <w:color w:val="000000"/>
                <w:sz w:val="16"/>
                <w:szCs w:val="16"/>
              </w:rPr>
              <w:t xml:space="preserve">fluoride and </w:t>
            </w:r>
            <w:r w:rsidRPr="005C0768">
              <w:rPr>
                <w:color w:val="000000"/>
                <w:sz w:val="16"/>
                <w:szCs w:val="16"/>
              </w:rPr>
              <w:t xml:space="preserve">those </w:t>
            </w:r>
            <w:r>
              <w:rPr>
                <w:color w:val="000000"/>
                <w:sz w:val="16"/>
                <w:szCs w:val="16"/>
              </w:rPr>
              <w:t xml:space="preserve">pollutants </w:t>
            </w:r>
            <w:r w:rsidRPr="005C0768">
              <w:rPr>
                <w:color w:val="000000"/>
                <w:sz w:val="16"/>
                <w:szCs w:val="16"/>
              </w:rPr>
              <w:t xml:space="preserve">defined for </w:t>
            </w:r>
            <w:r>
              <w:rPr>
                <w:color w:val="000000"/>
                <w:sz w:val="16"/>
                <w:szCs w:val="16"/>
              </w:rPr>
              <w:t xml:space="preserve">Pulp and Paper, </w:t>
            </w:r>
            <w:r w:rsidRPr="005C0768">
              <w:rPr>
                <w:color w:val="000000"/>
                <w:sz w:val="16"/>
                <w:szCs w:val="16"/>
              </w:rPr>
              <w:t>MWC</w:t>
            </w:r>
            <w:r>
              <w:rPr>
                <w:color w:val="000000"/>
                <w:sz w:val="16"/>
                <w:szCs w:val="16"/>
              </w:rPr>
              <w:t>, M</w:t>
            </w:r>
            <w:r w:rsidRPr="005C0768">
              <w:rPr>
                <w:color w:val="000000"/>
                <w:sz w:val="16"/>
                <w:szCs w:val="16"/>
              </w:rPr>
              <w:t>SW landfills.</w:t>
            </w:r>
          </w:p>
          <w:p w:rsidR="00A56796" w:rsidRPr="005C0768" w:rsidRDefault="00A56796" w:rsidP="00A56796">
            <w:pPr>
              <w:numPr>
                <w:ilvl w:val="0"/>
                <w:numId w:val="16"/>
              </w:numPr>
              <w:tabs>
                <w:tab w:val="clear" w:pos="1080"/>
                <w:tab w:val="num" w:pos="342"/>
              </w:tabs>
              <w:autoSpaceDE w:val="0"/>
              <w:autoSpaceDN w:val="0"/>
              <w:adjustRightInd w:val="0"/>
              <w:ind w:left="342" w:hanging="328"/>
              <w:rPr>
                <w:color w:val="000000"/>
                <w:sz w:val="16"/>
                <w:szCs w:val="16"/>
              </w:rPr>
            </w:pPr>
            <w:r w:rsidRPr="005C0768">
              <w:rPr>
                <w:color w:val="000000"/>
                <w:sz w:val="16"/>
                <w:szCs w:val="16"/>
              </w:rPr>
              <w:t>Ozone (O</w:t>
            </w:r>
            <w:r w:rsidRPr="00D95CA8">
              <w:rPr>
                <w:color w:val="000000"/>
                <w:sz w:val="16"/>
                <w:szCs w:val="16"/>
                <w:vertAlign w:val="subscript"/>
              </w:rPr>
              <w:t>3</w:t>
            </w:r>
            <w:r w:rsidRPr="005C0768">
              <w:rPr>
                <w:color w:val="000000"/>
                <w:sz w:val="16"/>
                <w:szCs w:val="16"/>
              </w:rPr>
              <w:t>) is regulated by its precursors (VOC and NO</w:t>
            </w:r>
            <w:r w:rsidRPr="00A90686">
              <w:rPr>
                <w:color w:val="000000"/>
                <w:sz w:val="16"/>
                <w:szCs w:val="16"/>
                <w:vertAlign w:val="subscript"/>
              </w:rPr>
              <w:t>X</w:t>
            </w:r>
            <w:r w:rsidRPr="005C0768">
              <w:rPr>
                <w:color w:val="000000"/>
                <w:sz w:val="16"/>
                <w:szCs w:val="16"/>
              </w:rPr>
              <w:t>).</w:t>
            </w:r>
            <w:r>
              <w:rPr>
                <w:color w:val="000000"/>
                <w:sz w:val="16"/>
                <w:szCs w:val="16"/>
              </w:rPr>
              <w:t xml:space="preserve">  PSD for PM</w:t>
            </w:r>
            <w:r w:rsidRPr="00FF2B1E">
              <w:rPr>
                <w:color w:val="000000"/>
                <w:sz w:val="16"/>
                <w:szCs w:val="16"/>
                <w:vertAlign w:val="subscript"/>
              </w:rPr>
              <w:t>2.5</w:t>
            </w:r>
            <w:r>
              <w:rPr>
                <w:color w:val="000000"/>
                <w:sz w:val="16"/>
                <w:szCs w:val="16"/>
              </w:rPr>
              <w:t xml:space="preserve"> can be triggered by its precursors (NO</w:t>
            </w:r>
            <w:r w:rsidRPr="00FF2B1E">
              <w:rPr>
                <w:color w:val="000000"/>
                <w:sz w:val="16"/>
                <w:szCs w:val="16"/>
                <w:vertAlign w:val="subscript"/>
              </w:rPr>
              <w:t>X</w:t>
            </w:r>
            <w:r>
              <w:rPr>
                <w:color w:val="000000"/>
                <w:sz w:val="16"/>
                <w:szCs w:val="16"/>
              </w:rPr>
              <w:t xml:space="preserve"> and SO</w:t>
            </w:r>
            <w:r w:rsidRPr="00FF2B1E">
              <w:rPr>
                <w:color w:val="000000"/>
                <w:sz w:val="16"/>
                <w:szCs w:val="16"/>
                <w:vertAlign w:val="subscript"/>
              </w:rPr>
              <w:t>2</w:t>
            </w:r>
            <w:r>
              <w:rPr>
                <w:color w:val="000000"/>
                <w:sz w:val="16"/>
                <w:szCs w:val="16"/>
              </w:rPr>
              <w:t>).</w:t>
            </w:r>
          </w:p>
          <w:p w:rsidR="00A56796" w:rsidRPr="005C0768" w:rsidRDefault="00A56796" w:rsidP="00A56796">
            <w:pPr>
              <w:numPr>
                <w:ilvl w:val="0"/>
                <w:numId w:val="16"/>
              </w:numPr>
              <w:tabs>
                <w:tab w:val="clear" w:pos="1080"/>
                <w:tab w:val="num" w:pos="342"/>
              </w:tabs>
              <w:autoSpaceDE w:val="0"/>
              <w:autoSpaceDN w:val="0"/>
              <w:adjustRightInd w:val="0"/>
              <w:spacing w:after="20"/>
              <w:ind w:left="342" w:hanging="328"/>
              <w:rPr>
                <w:color w:val="000000"/>
                <w:sz w:val="16"/>
                <w:szCs w:val="16"/>
              </w:rPr>
            </w:pPr>
            <w:r>
              <w:rPr>
                <w:color w:val="000000"/>
                <w:sz w:val="16"/>
                <w:szCs w:val="16"/>
              </w:rPr>
              <w:t>F</w:t>
            </w:r>
            <w:r w:rsidRPr="005C0768">
              <w:rPr>
                <w:color w:val="000000"/>
                <w:sz w:val="16"/>
                <w:szCs w:val="16"/>
              </w:rPr>
              <w:t xml:space="preserve">ederal SER of 75,000 TPY for GHG </w:t>
            </w:r>
            <w:r>
              <w:rPr>
                <w:color w:val="000000"/>
                <w:sz w:val="16"/>
                <w:szCs w:val="16"/>
              </w:rPr>
              <w:t>(</w:t>
            </w:r>
            <w:r w:rsidRPr="005C0768">
              <w:rPr>
                <w:color w:val="000000"/>
                <w:sz w:val="16"/>
                <w:szCs w:val="16"/>
              </w:rPr>
              <w:t>as CO</w:t>
            </w:r>
            <w:r w:rsidRPr="00A90686">
              <w:rPr>
                <w:color w:val="000000"/>
                <w:sz w:val="16"/>
                <w:szCs w:val="16"/>
                <w:vertAlign w:val="subscript"/>
              </w:rPr>
              <w:t>2</w:t>
            </w:r>
            <w:r w:rsidRPr="005C0768">
              <w:rPr>
                <w:color w:val="000000"/>
                <w:sz w:val="14"/>
                <w:szCs w:val="16"/>
              </w:rPr>
              <w:t>e</w:t>
            </w:r>
            <w:r>
              <w:rPr>
                <w:color w:val="000000"/>
                <w:sz w:val="16"/>
                <w:szCs w:val="16"/>
              </w:rPr>
              <w:t>) for PSD sources</w:t>
            </w:r>
            <w:r w:rsidRPr="005C0768">
              <w:rPr>
                <w:color w:val="000000"/>
                <w:sz w:val="16"/>
                <w:szCs w:val="16"/>
              </w:rPr>
              <w:t xml:space="preserve"> </w:t>
            </w:r>
            <w:r>
              <w:rPr>
                <w:color w:val="000000"/>
                <w:sz w:val="16"/>
                <w:szCs w:val="16"/>
              </w:rPr>
              <w:t xml:space="preserve">and </w:t>
            </w:r>
            <w:r w:rsidRPr="005C0768">
              <w:rPr>
                <w:color w:val="000000"/>
                <w:sz w:val="16"/>
                <w:szCs w:val="16"/>
              </w:rPr>
              <w:t>ha</w:t>
            </w:r>
            <w:r>
              <w:rPr>
                <w:color w:val="000000"/>
                <w:sz w:val="16"/>
                <w:szCs w:val="16"/>
              </w:rPr>
              <w:t xml:space="preserve">s </w:t>
            </w:r>
            <w:r w:rsidRPr="005C0768">
              <w:rPr>
                <w:color w:val="000000"/>
                <w:sz w:val="16"/>
                <w:szCs w:val="16"/>
              </w:rPr>
              <w:t xml:space="preserve">not been incorporated into Department rules. </w:t>
            </w:r>
          </w:p>
        </w:tc>
      </w:tr>
    </w:tbl>
    <w:p w:rsidR="00ED3873" w:rsidRDefault="00ED3873" w:rsidP="00ED3873">
      <w:pPr>
        <w:widowControl w:val="0"/>
        <w:spacing w:before="120" w:after="120"/>
        <w:rPr>
          <w:rFonts w:eastAsia="Calibri"/>
          <w:sz w:val="22"/>
          <w:szCs w:val="22"/>
        </w:rPr>
      </w:pPr>
      <w:r>
        <w:rPr>
          <w:rFonts w:eastAsia="Calibri"/>
          <w:sz w:val="22"/>
          <w:szCs w:val="22"/>
        </w:rPr>
        <w:t>According to 40 CFR 52.21, six greenhouse gases (</w:t>
      </w:r>
      <w:r w:rsidRPr="00ED735F">
        <w:rPr>
          <w:rFonts w:eastAsia="Calibri"/>
          <w:sz w:val="22"/>
          <w:szCs w:val="22"/>
        </w:rPr>
        <w:t>GHG</w:t>
      </w:r>
      <w:r>
        <w:rPr>
          <w:rFonts w:eastAsia="Calibri"/>
          <w:sz w:val="22"/>
          <w:szCs w:val="22"/>
        </w:rPr>
        <w:t>),</w:t>
      </w:r>
      <w:r w:rsidRPr="00ED735F">
        <w:rPr>
          <w:rFonts w:eastAsia="Calibri"/>
          <w:sz w:val="22"/>
          <w:szCs w:val="22"/>
        </w:rPr>
        <w:t xml:space="preserve"> </w:t>
      </w:r>
      <w:r>
        <w:rPr>
          <w:rFonts w:eastAsia="Calibri"/>
          <w:sz w:val="22"/>
          <w:szCs w:val="22"/>
        </w:rPr>
        <w:t xml:space="preserve">are </w:t>
      </w:r>
      <w:r w:rsidRPr="00ED735F">
        <w:rPr>
          <w:rFonts w:eastAsia="Calibri"/>
          <w:sz w:val="22"/>
          <w:szCs w:val="22"/>
        </w:rPr>
        <w:t>also be subject to regulation</w:t>
      </w:r>
      <w:r>
        <w:rPr>
          <w:rFonts w:eastAsia="Calibri"/>
          <w:sz w:val="22"/>
          <w:szCs w:val="22"/>
        </w:rPr>
        <w:t xml:space="preserve"> a</w:t>
      </w:r>
      <w:r w:rsidRPr="00ED735F">
        <w:rPr>
          <w:rFonts w:eastAsia="Calibri"/>
          <w:sz w:val="22"/>
          <w:szCs w:val="22"/>
        </w:rPr>
        <w:t>t new stationary source</w:t>
      </w:r>
      <w:r>
        <w:rPr>
          <w:rFonts w:eastAsia="Calibri"/>
          <w:sz w:val="22"/>
          <w:szCs w:val="22"/>
        </w:rPr>
        <w:t>s</w:t>
      </w:r>
      <w:r w:rsidRPr="00ED735F">
        <w:rPr>
          <w:rFonts w:eastAsia="Calibri"/>
          <w:sz w:val="22"/>
          <w:szCs w:val="22"/>
        </w:rPr>
        <w:t xml:space="preserve"> that will emit or have the potential to emit 100,000 t</w:t>
      </w:r>
      <w:r>
        <w:rPr>
          <w:rFonts w:eastAsia="Calibri"/>
          <w:sz w:val="22"/>
          <w:szCs w:val="22"/>
        </w:rPr>
        <w:t>ons/year (SER equal to 75,000 tons/year) expressed as the carbon dioxide equivalent emissions (</w:t>
      </w:r>
      <w:r w:rsidRPr="00ED735F">
        <w:rPr>
          <w:rFonts w:eastAsia="Calibri"/>
          <w:sz w:val="22"/>
          <w:szCs w:val="22"/>
        </w:rPr>
        <w:t>CO</w:t>
      </w:r>
      <w:r w:rsidRPr="00ED735F">
        <w:rPr>
          <w:rFonts w:eastAsia="Calibri"/>
          <w:sz w:val="22"/>
          <w:szCs w:val="22"/>
          <w:vertAlign w:val="subscript"/>
        </w:rPr>
        <w:t>2</w:t>
      </w:r>
      <w:r w:rsidRPr="00ED735F">
        <w:rPr>
          <w:rFonts w:eastAsia="Calibri"/>
          <w:sz w:val="22"/>
          <w:szCs w:val="22"/>
        </w:rPr>
        <w:t>e</w:t>
      </w:r>
      <w:r>
        <w:rPr>
          <w:rFonts w:eastAsia="Calibri"/>
          <w:sz w:val="22"/>
          <w:szCs w:val="22"/>
        </w:rPr>
        <w:t xml:space="preserve">).  This requirement </w:t>
      </w:r>
      <w:r w:rsidRPr="00ED735F">
        <w:rPr>
          <w:rFonts w:eastAsia="Calibri"/>
          <w:sz w:val="22"/>
          <w:szCs w:val="22"/>
        </w:rPr>
        <w:t>has not been incorporated into Department rules</w:t>
      </w:r>
      <w:r>
        <w:rPr>
          <w:rFonts w:eastAsia="Calibri"/>
          <w:sz w:val="22"/>
          <w:szCs w:val="22"/>
        </w:rPr>
        <w:t xml:space="preserve"> but is a separate requirement of the EPA.  </w:t>
      </w:r>
    </w:p>
    <w:p w:rsidR="007266C7" w:rsidRPr="00AB10A9" w:rsidRDefault="00193F10" w:rsidP="00DB52EE">
      <w:pPr>
        <w:pStyle w:val="ListParagraph"/>
        <w:numPr>
          <w:ilvl w:val="1"/>
          <w:numId w:val="13"/>
        </w:numPr>
        <w:spacing w:before="120" w:after="120" w:line="240" w:lineRule="auto"/>
        <w:ind w:left="720" w:hanging="720"/>
        <w:contextualSpacing w:val="0"/>
        <w:rPr>
          <w:rFonts w:ascii="Times New Roman" w:hAnsi="Times New Roman" w:cs="Times New Roman"/>
          <w:b/>
        </w:rPr>
      </w:pPr>
      <w:r w:rsidRPr="00AB10A9">
        <w:rPr>
          <w:rFonts w:ascii="Times New Roman" w:hAnsi="Times New Roman" w:cs="Times New Roman"/>
          <w:b/>
        </w:rPr>
        <w:t>PSD Applicability for Project</w:t>
      </w:r>
    </w:p>
    <w:p w:rsidR="00AB10A9" w:rsidRDefault="004665E5" w:rsidP="004D1D9F">
      <w:pPr>
        <w:widowControl w:val="0"/>
        <w:spacing w:before="120" w:after="120"/>
        <w:rPr>
          <w:sz w:val="22"/>
          <w:szCs w:val="22"/>
        </w:rPr>
      </w:pPr>
      <w:r w:rsidRPr="000D2E5C">
        <w:rPr>
          <w:sz w:val="22"/>
          <w:szCs w:val="22"/>
        </w:rPr>
        <w:t>The project is located in</w:t>
      </w:r>
      <w:r>
        <w:rPr>
          <w:sz w:val="22"/>
          <w:szCs w:val="22"/>
        </w:rPr>
        <w:t xml:space="preserve"> Putnam </w:t>
      </w:r>
      <w:r w:rsidRPr="000D2E5C">
        <w:rPr>
          <w:sz w:val="22"/>
          <w:szCs w:val="22"/>
        </w:rPr>
        <w:t xml:space="preserve">County which is in an area that is currently in attainment with the </w:t>
      </w:r>
      <w:r>
        <w:rPr>
          <w:sz w:val="22"/>
          <w:szCs w:val="22"/>
        </w:rPr>
        <w:t>AAQS</w:t>
      </w:r>
      <w:r w:rsidRPr="000D2E5C">
        <w:rPr>
          <w:sz w:val="22"/>
          <w:szCs w:val="22"/>
        </w:rPr>
        <w:t xml:space="preserve"> </w:t>
      </w:r>
      <w:r>
        <w:rPr>
          <w:sz w:val="22"/>
          <w:szCs w:val="22"/>
        </w:rPr>
        <w:t xml:space="preserve">or is </w:t>
      </w:r>
      <w:r w:rsidRPr="000D2E5C">
        <w:rPr>
          <w:sz w:val="22"/>
          <w:szCs w:val="22"/>
        </w:rPr>
        <w:t xml:space="preserve">otherwise designated as unclassifiable.  </w:t>
      </w:r>
      <w:r w:rsidR="00AB10A9">
        <w:rPr>
          <w:sz w:val="22"/>
          <w:szCs w:val="22"/>
        </w:rPr>
        <w:t>According to the applicant, t</w:t>
      </w:r>
      <w:r>
        <w:rPr>
          <w:sz w:val="22"/>
          <w:szCs w:val="22"/>
        </w:rPr>
        <w:t>he proposed project will not increase emissions for any PSD pollutant; therefore, the project is not subject to a PSD preconstruction review.</w:t>
      </w:r>
    </w:p>
    <w:p w:rsidR="00193F10" w:rsidRPr="00AB10A9" w:rsidRDefault="00617209" w:rsidP="00AB10A9">
      <w:pPr>
        <w:pStyle w:val="ListParagraph"/>
        <w:numPr>
          <w:ilvl w:val="0"/>
          <w:numId w:val="13"/>
        </w:numPr>
        <w:spacing w:after="120"/>
        <w:ind w:left="720" w:hanging="720"/>
        <w:contextualSpacing w:val="0"/>
        <w:rPr>
          <w:rFonts w:ascii="Times New Roman" w:hAnsi="Times New Roman" w:cs="Times New Roman"/>
          <w:b/>
          <w:caps/>
        </w:rPr>
      </w:pPr>
      <w:r w:rsidRPr="00AB10A9">
        <w:rPr>
          <w:rFonts w:ascii="Times New Roman" w:hAnsi="Times New Roman" w:cs="Times New Roman"/>
          <w:b/>
          <w:caps/>
        </w:rPr>
        <w:t>Department review</w:t>
      </w:r>
    </w:p>
    <w:p w:rsidR="004318F9" w:rsidRDefault="00F26697" w:rsidP="00DB52EE">
      <w:pPr>
        <w:pStyle w:val="BodyText"/>
        <w:widowControl w:val="0"/>
        <w:spacing w:after="60"/>
      </w:pPr>
      <w:r>
        <w:rPr>
          <w:sz w:val="22"/>
        </w:rPr>
        <w:t xml:space="preserve">The No. 4 combination boiler </w:t>
      </w:r>
      <w:r w:rsidR="00A61F6A">
        <w:rPr>
          <w:sz w:val="22"/>
        </w:rPr>
        <w:t xml:space="preserve">that </w:t>
      </w:r>
      <w:r>
        <w:rPr>
          <w:sz w:val="22"/>
        </w:rPr>
        <w:t>operat</w:t>
      </w:r>
      <w:r w:rsidR="00A61F6A">
        <w:rPr>
          <w:sz w:val="22"/>
        </w:rPr>
        <w:t>es</w:t>
      </w:r>
      <w:r>
        <w:rPr>
          <w:sz w:val="22"/>
        </w:rPr>
        <w:t xml:space="preserve"> at the Palatka Mill is permitted to burn wo</w:t>
      </w:r>
      <w:r w:rsidR="00462565">
        <w:rPr>
          <w:sz w:val="22"/>
        </w:rPr>
        <w:t>od/</w:t>
      </w:r>
      <w:r>
        <w:rPr>
          <w:sz w:val="22"/>
        </w:rPr>
        <w:t xml:space="preserve">bark and </w:t>
      </w:r>
      <w:r w:rsidR="00A95330">
        <w:rPr>
          <w:sz w:val="22"/>
        </w:rPr>
        <w:t>natural gas.</w:t>
      </w:r>
      <w:r w:rsidR="00A61F6A">
        <w:rPr>
          <w:sz w:val="22"/>
        </w:rPr>
        <w:t xml:space="preserve"> `</w:t>
      </w:r>
      <w:r w:rsidR="00A95330">
        <w:rPr>
          <w:sz w:val="22"/>
        </w:rPr>
        <w:t xml:space="preserve"> </w:t>
      </w:r>
      <w:r w:rsidR="009F1E48">
        <w:rPr>
          <w:sz w:val="22"/>
        </w:rPr>
        <w:t>M</w:t>
      </w:r>
      <w:r w:rsidR="00AB10A9">
        <w:rPr>
          <w:sz w:val="22"/>
        </w:rPr>
        <w:t xml:space="preserve">odifications to this boiler </w:t>
      </w:r>
      <w:r w:rsidR="00A95330">
        <w:rPr>
          <w:sz w:val="22"/>
        </w:rPr>
        <w:t>w</w:t>
      </w:r>
      <w:r w:rsidR="00A61F6A">
        <w:rPr>
          <w:sz w:val="22"/>
        </w:rPr>
        <w:t>ere</w:t>
      </w:r>
      <w:r w:rsidR="00A95330">
        <w:rPr>
          <w:sz w:val="22"/>
        </w:rPr>
        <w:t xml:space="preserve"> </w:t>
      </w:r>
      <w:r w:rsidR="00AB10A9">
        <w:rPr>
          <w:sz w:val="22"/>
        </w:rPr>
        <w:t>authorized</w:t>
      </w:r>
      <w:r w:rsidR="00A95330">
        <w:rPr>
          <w:sz w:val="22"/>
        </w:rPr>
        <w:t xml:space="preserve"> to </w:t>
      </w:r>
      <w:r w:rsidR="009F1E48">
        <w:rPr>
          <w:sz w:val="22"/>
        </w:rPr>
        <w:t xml:space="preserve">be </w:t>
      </w:r>
      <w:r w:rsidR="004318F9">
        <w:rPr>
          <w:sz w:val="22"/>
        </w:rPr>
        <w:t>perform</w:t>
      </w:r>
      <w:r w:rsidR="009F1E48">
        <w:rPr>
          <w:sz w:val="22"/>
        </w:rPr>
        <w:t>ed</w:t>
      </w:r>
      <w:r w:rsidR="004318F9">
        <w:rPr>
          <w:sz w:val="22"/>
        </w:rPr>
        <w:t xml:space="preserve"> </w:t>
      </w:r>
      <w:r w:rsidR="00AB10A9">
        <w:rPr>
          <w:sz w:val="22"/>
        </w:rPr>
        <w:t>by the final Air Construction Permit Nos. 1070005-066-</w:t>
      </w:r>
      <w:r w:rsidR="004318F9">
        <w:rPr>
          <w:sz w:val="22"/>
        </w:rPr>
        <w:t xml:space="preserve">AC </w:t>
      </w:r>
      <w:r w:rsidR="00AB10A9">
        <w:rPr>
          <w:sz w:val="22"/>
        </w:rPr>
        <w:t xml:space="preserve">and 1070005-070-AC </w:t>
      </w:r>
      <w:r w:rsidR="004318F9">
        <w:rPr>
          <w:sz w:val="22"/>
        </w:rPr>
        <w:t>t</w:t>
      </w:r>
      <w:r w:rsidR="00FC3106">
        <w:rPr>
          <w:sz w:val="22"/>
        </w:rPr>
        <w:t xml:space="preserve">hat </w:t>
      </w:r>
      <w:r w:rsidR="00AB10A9">
        <w:rPr>
          <w:sz w:val="22"/>
        </w:rPr>
        <w:t>were</w:t>
      </w:r>
      <w:r w:rsidR="00A61F6A">
        <w:rPr>
          <w:sz w:val="22"/>
        </w:rPr>
        <w:t xml:space="preserve"> </w:t>
      </w:r>
      <w:r w:rsidR="00FC3106">
        <w:rPr>
          <w:sz w:val="22"/>
        </w:rPr>
        <w:t>issued on April, 7, 2011</w:t>
      </w:r>
      <w:r w:rsidR="00AB10A9">
        <w:rPr>
          <w:sz w:val="22"/>
        </w:rPr>
        <w:t xml:space="preserve"> and January 11, 2012, respectively</w:t>
      </w:r>
      <w:r w:rsidR="00FC3106">
        <w:rPr>
          <w:sz w:val="22"/>
        </w:rPr>
        <w:t xml:space="preserve">.  </w:t>
      </w:r>
      <w:r w:rsidR="00A61F6A">
        <w:rPr>
          <w:sz w:val="22"/>
        </w:rPr>
        <w:t>These permitted m</w:t>
      </w:r>
      <w:r w:rsidR="004318F9">
        <w:rPr>
          <w:sz w:val="22"/>
        </w:rPr>
        <w:t>odifications include the following</w:t>
      </w:r>
      <w:r w:rsidR="00A61F6A">
        <w:rPr>
          <w:sz w:val="22"/>
        </w:rPr>
        <w:t xml:space="preserve"> </w:t>
      </w:r>
      <w:r w:rsidR="00767228">
        <w:rPr>
          <w:sz w:val="22"/>
        </w:rPr>
        <w:t xml:space="preserve">changes or </w:t>
      </w:r>
      <w:r w:rsidR="00A61F6A">
        <w:rPr>
          <w:sz w:val="22"/>
        </w:rPr>
        <w:t>improvements</w:t>
      </w:r>
      <w:r w:rsidR="004318F9">
        <w:rPr>
          <w:sz w:val="22"/>
        </w:rPr>
        <w:t>:</w:t>
      </w:r>
      <w:r w:rsidR="004318F9" w:rsidRPr="004318F9">
        <w:t xml:space="preserve"> </w:t>
      </w:r>
    </w:p>
    <w:p w:rsidR="004318F9" w:rsidRPr="004318F9" w:rsidRDefault="00767228" w:rsidP="00DB52EE">
      <w:pPr>
        <w:pStyle w:val="BodyText"/>
        <w:widowControl w:val="0"/>
        <w:numPr>
          <w:ilvl w:val="0"/>
          <w:numId w:val="11"/>
        </w:numPr>
        <w:spacing w:after="60"/>
        <w:ind w:left="360"/>
        <w:rPr>
          <w:sz w:val="22"/>
        </w:rPr>
      </w:pPr>
      <w:r>
        <w:rPr>
          <w:sz w:val="22"/>
        </w:rPr>
        <w:t>R</w:t>
      </w:r>
      <w:r w:rsidR="004318F9" w:rsidRPr="004318F9">
        <w:rPr>
          <w:sz w:val="22"/>
        </w:rPr>
        <w:t>eplace the fuel oil b</w:t>
      </w:r>
      <w:r w:rsidR="00AB10A9">
        <w:rPr>
          <w:sz w:val="22"/>
        </w:rPr>
        <w:t>urners with natural gas burners;</w:t>
      </w:r>
    </w:p>
    <w:p w:rsidR="004318F9" w:rsidRPr="004318F9" w:rsidRDefault="00767228" w:rsidP="00DB52EE">
      <w:pPr>
        <w:pStyle w:val="BodyText"/>
        <w:widowControl w:val="0"/>
        <w:numPr>
          <w:ilvl w:val="0"/>
          <w:numId w:val="11"/>
        </w:numPr>
        <w:spacing w:after="60"/>
        <w:ind w:left="360"/>
        <w:rPr>
          <w:sz w:val="22"/>
        </w:rPr>
      </w:pPr>
      <w:r>
        <w:rPr>
          <w:sz w:val="22"/>
        </w:rPr>
        <w:t>U</w:t>
      </w:r>
      <w:r w:rsidR="004318F9" w:rsidRPr="004318F9">
        <w:rPr>
          <w:sz w:val="22"/>
        </w:rPr>
        <w:t>pgrade of the existing me</w:t>
      </w:r>
      <w:r w:rsidR="00AB10A9">
        <w:rPr>
          <w:sz w:val="22"/>
        </w:rPr>
        <w:t>chanical dust collection system;</w:t>
      </w:r>
      <w:r w:rsidR="004318F9" w:rsidRPr="004318F9">
        <w:rPr>
          <w:sz w:val="22"/>
        </w:rPr>
        <w:t xml:space="preserve"> </w:t>
      </w:r>
    </w:p>
    <w:p w:rsidR="004318F9" w:rsidRPr="004318F9" w:rsidRDefault="00767228" w:rsidP="00DB52EE">
      <w:pPr>
        <w:pStyle w:val="BodyText"/>
        <w:widowControl w:val="0"/>
        <w:numPr>
          <w:ilvl w:val="0"/>
          <w:numId w:val="11"/>
        </w:numPr>
        <w:spacing w:after="60"/>
        <w:ind w:left="360"/>
        <w:rPr>
          <w:sz w:val="22"/>
        </w:rPr>
      </w:pPr>
      <w:r>
        <w:rPr>
          <w:sz w:val="22"/>
        </w:rPr>
        <w:t>R</w:t>
      </w:r>
      <w:r w:rsidR="004318F9" w:rsidRPr="004318F9">
        <w:rPr>
          <w:sz w:val="22"/>
        </w:rPr>
        <w:t>eplace the existing steam induced draft f</w:t>
      </w:r>
      <w:r w:rsidR="00AB10A9">
        <w:rPr>
          <w:sz w:val="22"/>
        </w:rPr>
        <w:t>an-drive with an electric motor;</w:t>
      </w:r>
      <w:r w:rsidR="004318F9" w:rsidRPr="004318F9">
        <w:rPr>
          <w:sz w:val="22"/>
        </w:rPr>
        <w:t xml:space="preserve"> </w:t>
      </w:r>
    </w:p>
    <w:p w:rsidR="004318F9" w:rsidRDefault="00C531BE" w:rsidP="00DB52EE">
      <w:pPr>
        <w:pStyle w:val="BodyText"/>
        <w:widowControl w:val="0"/>
        <w:numPr>
          <w:ilvl w:val="0"/>
          <w:numId w:val="11"/>
        </w:numPr>
        <w:spacing w:after="60"/>
        <w:ind w:left="360"/>
        <w:rPr>
          <w:sz w:val="22"/>
        </w:rPr>
      </w:pPr>
      <w:r w:rsidRPr="005E2C55">
        <w:rPr>
          <w:sz w:val="22"/>
          <w:szCs w:val="22"/>
        </w:rPr>
        <w:t>Partially r</w:t>
      </w:r>
      <w:r w:rsidR="004318F9" w:rsidRPr="004318F9">
        <w:rPr>
          <w:sz w:val="22"/>
        </w:rPr>
        <w:t xml:space="preserve">eplace 28 continuous </w:t>
      </w:r>
      <w:r w:rsidR="004318F9" w:rsidRPr="0024738C">
        <w:rPr>
          <w:sz w:val="22"/>
          <w:szCs w:val="22"/>
        </w:rPr>
        <w:t>superheater</w:t>
      </w:r>
      <w:r w:rsidR="004318F9">
        <w:t xml:space="preserve"> </w:t>
      </w:r>
      <w:r w:rsidR="00AB10A9">
        <w:rPr>
          <w:sz w:val="22"/>
        </w:rPr>
        <w:t>tube sections;</w:t>
      </w:r>
      <w:r w:rsidR="004318F9">
        <w:rPr>
          <w:sz w:val="22"/>
        </w:rPr>
        <w:t xml:space="preserve"> </w:t>
      </w:r>
      <w:r w:rsidR="00AB10A9" w:rsidRPr="004318F9">
        <w:rPr>
          <w:sz w:val="22"/>
        </w:rPr>
        <w:t>and</w:t>
      </w:r>
    </w:p>
    <w:p w:rsidR="00AB10A9" w:rsidRDefault="00AB10A9" w:rsidP="00767228">
      <w:pPr>
        <w:pStyle w:val="BodyText"/>
        <w:widowControl w:val="0"/>
        <w:numPr>
          <w:ilvl w:val="0"/>
          <w:numId w:val="11"/>
        </w:numPr>
        <w:ind w:left="360"/>
        <w:rPr>
          <w:sz w:val="22"/>
        </w:rPr>
      </w:pPr>
      <w:r w:rsidRPr="00AB10A9">
        <w:rPr>
          <w:sz w:val="22"/>
        </w:rPr>
        <w:t>Replace approximately 1,400 tubes in the boiler air preheater section.</w:t>
      </w:r>
    </w:p>
    <w:p w:rsidR="00F17CC5" w:rsidRDefault="00C14738" w:rsidP="00F17CC5">
      <w:pPr>
        <w:pStyle w:val="BodyText"/>
        <w:widowControl w:val="0"/>
        <w:spacing w:after="60"/>
        <w:rPr>
          <w:sz w:val="22"/>
          <w:szCs w:val="22"/>
        </w:rPr>
      </w:pPr>
      <w:r w:rsidRPr="00C14738">
        <w:rPr>
          <w:sz w:val="22"/>
          <w:szCs w:val="22"/>
        </w:rPr>
        <w:t xml:space="preserve">The applicant is proposing to replace </w:t>
      </w:r>
      <w:r w:rsidR="007A2E65">
        <w:rPr>
          <w:sz w:val="22"/>
          <w:szCs w:val="22"/>
        </w:rPr>
        <w:t xml:space="preserve">the </w:t>
      </w:r>
      <w:r w:rsidR="002123D3">
        <w:rPr>
          <w:sz w:val="22"/>
          <w:szCs w:val="22"/>
        </w:rPr>
        <w:t>existing</w:t>
      </w:r>
      <w:r w:rsidR="007A2E65">
        <w:rPr>
          <w:sz w:val="22"/>
          <w:szCs w:val="22"/>
        </w:rPr>
        <w:t xml:space="preserve"> damage</w:t>
      </w:r>
      <w:r w:rsidR="001329FA">
        <w:rPr>
          <w:sz w:val="22"/>
          <w:szCs w:val="22"/>
        </w:rPr>
        <w:t>d</w:t>
      </w:r>
      <w:r w:rsidR="007A2E65">
        <w:rPr>
          <w:sz w:val="22"/>
          <w:szCs w:val="22"/>
        </w:rPr>
        <w:t xml:space="preserve"> </w:t>
      </w:r>
      <w:r w:rsidR="00AB10A9" w:rsidRPr="00AB10A9">
        <w:rPr>
          <w:sz w:val="22"/>
          <w:szCs w:val="22"/>
        </w:rPr>
        <w:t xml:space="preserve">ESP </w:t>
      </w:r>
      <w:r w:rsidR="002E3659">
        <w:rPr>
          <w:sz w:val="22"/>
          <w:szCs w:val="22"/>
        </w:rPr>
        <w:t>on</w:t>
      </w:r>
      <w:r w:rsidR="00AB10A9" w:rsidRPr="00AB10A9">
        <w:rPr>
          <w:sz w:val="22"/>
          <w:szCs w:val="22"/>
        </w:rPr>
        <w:t xml:space="preserve"> the No. 4 combination boiler with an ESP previously used to control PM emission from the N</w:t>
      </w:r>
      <w:r w:rsidR="00AB10A9">
        <w:rPr>
          <w:sz w:val="22"/>
          <w:szCs w:val="22"/>
        </w:rPr>
        <w:t>o</w:t>
      </w:r>
      <w:r w:rsidR="00AB10A9" w:rsidRPr="00AB10A9">
        <w:rPr>
          <w:sz w:val="22"/>
          <w:szCs w:val="22"/>
        </w:rPr>
        <w:t xml:space="preserve">. 5 power boiler.  </w:t>
      </w:r>
      <w:r w:rsidR="00AB10A9">
        <w:rPr>
          <w:sz w:val="22"/>
          <w:szCs w:val="22"/>
        </w:rPr>
        <w:t xml:space="preserve">The applicant submitted specification sheets </w:t>
      </w:r>
      <w:r w:rsidR="00F17CC5">
        <w:rPr>
          <w:sz w:val="22"/>
          <w:szCs w:val="22"/>
        </w:rPr>
        <w:t>comparing the</w:t>
      </w:r>
      <w:r w:rsidR="00AB10A9">
        <w:rPr>
          <w:sz w:val="22"/>
          <w:szCs w:val="22"/>
        </w:rPr>
        <w:t xml:space="preserve"> No. 5 power boiler ESP</w:t>
      </w:r>
      <w:r w:rsidR="007A2E65">
        <w:rPr>
          <w:sz w:val="22"/>
          <w:szCs w:val="22"/>
        </w:rPr>
        <w:t xml:space="preserve"> </w:t>
      </w:r>
      <w:r w:rsidR="00F17CC5">
        <w:rPr>
          <w:sz w:val="22"/>
          <w:szCs w:val="22"/>
        </w:rPr>
        <w:t xml:space="preserve">to the No. 4 combination boiler ESP </w:t>
      </w:r>
      <w:r w:rsidR="007A2E65">
        <w:rPr>
          <w:sz w:val="22"/>
          <w:szCs w:val="22"/>
        </w:rPr>
        <w:t xml:space="preserve">to show </w:t>
      </w:r>
      <w:r w:rsidR="00DB52EE">
        <w:rPr>
          <w:sz w:val="22"/>
          <w:szCs w:val="22"/>
        </w:rPr>
        <w:t xml:space="preserve">that </w:t>
      </w:r>
      <w:r w:rsidR="00F17CC5">
        <w:rPr>
          <w:sz w:val="22"/>
          <w:szCs w:val="22"/>
        </w:rPr>
        <w:t>they have</w:t>
      </w:r>
      <w:r w:rsidR="007A2E65">
        <w:rPr>
          <w:sz w:val="22"/>
          <w:szCs w:val="22"/>
        </w:rPr>
        <w:t xml:space="preserve"> very similar characteristics and should provide the same level of PM emissions control</w:t>
      </w:r>
      <w:r w:rsidRPr="00C14738">
        <w:rPr>
          <w:sz w:val="22"/>
          <w:szCs w:val="22"/>
        </w:rPr>
        <w:t>.</w:t>
      </w:r>
      <w:r w:rsidR="00D208EA" w:rsidRPr="00C14738">
        <w:rPr>
          <w:sz w:val="22"/>
          <w:szCs w:val="22"/>
        </w:rPr>
        <w:t xml:space="preserve"> </w:t>
      </w:r>
      <w:r w:rsidR="00AB10A9">
        <w:rPr>
          <w:sz w:val="22"/>
          <w:szCs w:val="22"/>
        </w:rPr>
        <w:t xml:space="preserve"> </w:t>
      </w:r>
      <w:r w:rsidR="00F17CC5">
        <w:rPr>
          <w:sz w:val="22"/>
          <w:szCs w:val="22"/>
        </w:rPr>
        <w:t xml:space="preserve">In addition, the applicant sent an email to the Department dated December 10, 2012 comparing the characteristics of the two ESP.  </w:t>
      </w:r>
      <w:r w:rsidR="00DB52EE">
        <w:rPr>
          <w:sz w:val="22"/>
          <w:szCs w:val="22"/>
        </w:rPr>
        <w:t>The information from this email</w:t>
      </w:r>
      <w:r w:rsidR="00F17CC5">
        <w:rPr>
          <w:sz w:val="22"/>
          <w:szCs w:val="22"/>
        </w:rPr>
        <w:t xml:space="preserve"> is summarized below.  </w:t>
      </w:r>
    </w:p>
    <w:p w:rsidR="00F17CC5" w:rsidRPr="00F17CC5" w:rsidRDefault="00F17CC5" w:rsidP="00F17CC5">
      <w:pPr>
        <w:pStyle w:val="BodyText"/>
        <w:widowControl w:val="0"/>
        <w:numPr>
          <w:ilvl w:val="0"/>
          <w:numId w:val="14"/>
        </w:numPr>
        <w:spacing w:after="60"/>
        <w:ind w:left="360"/>
        <w:rPr>
          <w:i/>
          <w:sz w:val="22"/>
          <w:szCs w:val="22"/>
        </w:rPr>
      </w:pPr>
      <w:r w:rsidRPr="00F17CC5">
        <w:rPr>
          <w:i/>
          <w:sz w:val="22"/>
          <w:szCs w:val="22"/>
        </w:rPr>
        <w:t>The two precipitator chambers are identical (size, structure, etc.)</w:t>
      </w:r>
    </w:p>
    <w:p w:rsidR="00F17CC5" w:rsidRPr="00F17CC5" w:rsidRDefault="00F17CC5" w:rsidP="00F17CC5">
      <w:pPr>
        <w:pStyle w:val="BodyText"/>
        <w:widowControl w:val="0"/>
        <w:numPr>
          <w:ilvl w:val="0"/>
          <w:numId w:val="14"/>
        </w:numPr>
        <w:spacing w:after="60"/>
        <w:ind w:left="360"/>
        <w:rPr>
          <w:i/>
          <w:sz w:val="22"/>
          <w:szCs w:val="22"/>
        </w:rPr>
      </w:pPr>
      <w:r w:rsidRPr="00F17CC5">
        <w:rPr>
          <w:i/>
          <w:sz w:val="22"/>
          <w:szCs w:val="22"/>
        </w:rPr>
        <w:t>The main difference between the two precipitators originally was that the Power Boiler inlet field was empty; an inlet field was added to the PB unit in 2007 under permit 1070005-036-AC issued O</w:t>
      </w:r>
      <w:r>
        <w:rPr>
          <w:i/>
          <w:sz w:val="22"/>
          <w:szCs w:val="22"/>
        </w:rPr>
        <w:t>ctober 11, 2006</w:t>
      </w:r>
      <w:r w:rsidRPr="00F17CC5">
        <w:rPr>
          <w:i/>
          <w:sz w:val="22"/>
          <w:szCs w:val="22"/>
        </w:rPr>
        <w:t>.</w:t>
      </w:r>
    </w:p>
    <w:p w:rsidR="00F17CC5" w:rsidRPr="00F17CC5" w:rsidRDefault="00F17CC5" w:rsidP="00F17CC5">
      <w:pPr>
        <w:pStyle w:val="BodyText"/>
        <w:widowControl w:val="0"/>
        <w:numPr>
          <w:ilvl w:val="0"/>
          <w:numId w:val="14"/>
        </w:numPr>
        <w:spacing w:after="60"/>
        <w:ind w:left="360"/>
        <w:rPr>
          <w:i/>
          <w:sz w:val="22"/>
          <w:szCs w:val="22"/>
        </w:rPr>
      </w:pPr>
      <w:r w:rsidRPr="00F17CC5">
        <w:rPr>
          <w:i/>
          <w:sz w:val="22"/>
          <w:szCs w:val="22"/>
        </w:rPr>
        <w:t>Both Precipitators have (3) Fields, all of them have (21) collecting plates, (20) gas passages with 12” spacing</w:t>
      </w:r>
    </w:p>
    <w:p w:rsidR="00F17CC5" w:rsidRPr="00F17CC5" w:rsidRDefault="00F17CC5" w:rsidP="004A7A4B">
      <w:pPr>
        <w:pStyle w:val="BodyText"/>
        <w:widowControl w:val="0"/>
        <w:numPr>
          <w:ilvl w:val="1"/>
          <w:numId w:val="14"/>
        </w:numPr>
        <w:spacing w:after="60"/>
        <w:ind w:left="720"/>
        <w:rPr>
          <w:i/>
          <w:sz w:val="22"/>
          <w:szCs w:val="22"/>
        </w:rPr>
      </w:pPr>
      <w:r w:rsidRPr="00F17CC5">
        <w:rPr>
          <w:i/>
          <w:sz w:val="22"/>
          <w:szCs w:val="22"/>
        </w:rPr>
        <w:t>The collecting plates are 41’ high and 11’2” wide.</w:t>
      </w:r>
    </w:p>
    <w:p w:rsidR="00F17CC5" w:rsidRPr="00F17CC5" w:rsidRDefault="00F17CC5" w:rsidP="00F17CC5">
      <w:pPr>
        <w:pStyle w:val="BodyText"/>
        <w:widowControl w:val="0"/>
        <w:numPr>
          <w:ilvl w:val="0"/>
          <w:numId w:val="14"/>
        </w:numPr>
        <w:spacing w:after="60"/>
        <w:ind w:left="360"/>
        <w:rPr>
          <w:i/>
          <w:sz w:val="22"/>
          <w:szCs w:val="22"/>
        </w:rPr>
      </w:pPr>
      <w:r w:rsidRPr="00F17CC5">
        <w:rPr>
          <w:i/>
          <w:sz w:val="22"/>
          <w:szCs w:val="22"/>
        </w:rPr>
        <w:t>Each field has (120) electrodes, (6) in each gas passage.</w:t>
      </w:r>
    </w:p>
    <w:p w:rsidR="00F17CC5" w:rsidRPr="00F17CC5" w:rsidRDefault="00F17CC5" w:rsidP="00F17CC5">
      <w:pPr>
        <w:pStyle w:val="BodyText"/>
        <w:widowControl w:val="0"/>
        <w:numPr>
          <w:ilvl w:val="0"/>
          <w:numId w:val="14"/>
        </w:numPr>
        <w:spacing w:after="60"/>
        <w:ind w:left="360"/>
        <w:rPr>
          <w:i/>
          <w:sz w:val="22"/>
          <w:szCs w:val="22"/>
        </w:rPr>
      </w:pPr>
      <w:r w:rsidRPr="00F17CC5">
        <w:rPr>
          <w:i/>
          <w:sz w:val="22"/>
          <w:szCs w:val="22"/>
        </w:rPr>
        <w:t>Each Precipitator has (49) Rappers</w:t>
      </w:r>
    </w:p>
    <w:p w:rsidR="00F17CC5" w:rsidRPr="00F17CC5" w:rsidRDefault="00F17CC5" w:rsidP="00F17CC5">
      <w:pPr>
        <w:pStyle w:val="BodyText"/>
        <w:widowControl w:val="0"/>
        <w:numPr>
          <w:ilvl w:val="1"/>
          <w:numId w:val="14"/>
        </w:numPr>
        <w:spacing w:after="60"/>
        <w:ind w:left="720"/>
        <w:rPr>
          <w:i/>
          <w:sz w:val="22"/>
          <w:szCs w:val="22"/>
        </w:rPr>
      </w:pPr>
      <w:r w:rsidRPr="00F17CC5">
        <w:rPr>
          <w:i/>
          <w:sz w:val="22"/>
          <w:szCs w:val="22"/>
        </w:rPr>
        <w:t>(12) collecting plate rappers per field</w:t>
      </w:r>
    </w:p>
    <w:p w:rsidR="00F17CC5" w:rsidRPr="00F17CC5" w:rsidRDefault="00F17CC5" w:rsidP="00F17CC5">
      <w:pPr>
        <w:pStyle w:val="BodyText"/>
        <w:widowControl w:val="0"/>
        <w:numPr>
          <w:ilvl w:val="1"/>
          <w:numId w:val="14"/>
        </w:numPr>
        <w:spacing w:after="60"/>
        <w:ind w:left="720"/>
        <w:rPr>
          <w:i/>
          <w:sz w:val="22"/>
          <w:szCs w:val="22"/>
        </w:rPr>
      </w:pPr>
      <w:r w:rsidRPr="00F17CC5">
        <w:rPr>
          <w:i/>
          <w:sz w:val="22"/>
          <w:szCs w:val="22"/>
        </w:rPr>
        <w:t>(3) discharge electrode rappers per field</w:t>
      </w:r>
    </w:p>
    <w:p w:rsidR="00F17CC5" w:rsidRPr="00F17CC5" w:rsidRDefault="00F17CC5" w:rsidP="00F17CC5">
      <w:pPr>
        <w:pStyle w:val="BodyText"/>
        <w:widowControl w:val="0"/>
        <w:numPr>
          <w:ilvl w:val="1"/>
          <w:numId w:val="14"/>
        </w:numPr>
        <w:spacing w:after="60"/>
        <w:ind w:left="720"/>
        <w:rPr>
          <w:i/>
          <w:sz w:val="22"/>
          <w:szCs w:val="22"/>
        </w:rPr>
      </w:pPr>
      <w:r w:rsidRPr="00F17CC5">
        <w:rPr>
          <w:i/>
          <w:sz w:val="22"/>
          <w:szCs w:val="22"/>
        </w:rPr>
        <w:t>(2) inlet and (2) outlet distribution plate rappers</w:t>
      </w:r>
    </w:p>
    <w:p w:rsidR="00F17CC5" w:rsidRPr="00F17CC5" w:rsidRDefault="00F17CC5" w:rsidP="00F17CC5">
      <w:pPr>
        <w:pStyle w:val="BodyText"/>
        <w:widowControl w:val="0"/>
        <w:numPr>
          <w:ilvl w:val="0"/>
          <w:numId w:val="14"/>
        </w:numPr>
        <w:spacing w:after="60"/>
        <w:ind w:left="360"/>
        <w:rPr>
          <w:i/>
          <w:sz w:val="22"/>
          <w:szCs w:val="22"/>
        </w:rPr>
      </w:pPr>
      <w:r w:rsidRPr="00F17CC5">
        <w:rPr>
          <w:i/>
          <w:sz w:val="22"/>
          <w:szCs w:val="22"/>
        </w:rPr>
        <w:t>The fields are individually energized by five (6) transformer/rectifier (T/R)</w:t>
      </w:r>
      <w:r w:rsidR="00DB52EE">
        <w:rPr>
          <w:i/>
          <w:sz w:val="22"/>
          <w:szCs w:val="22"/>
        </w:rPr>
        <w:t xml:space="preserve"> sets (three per Precipitator). </w:t>
      </w:r>
      <w:r w:rsidRPr="00F17CC5">
        <w:rPr>
          <w:i/>
          <w:sz w:val="22"/>
          <w:szCs w:val="22"/>
        </w:rPr>
        <w:t xml:space="preserve"> Each T/R is connected full wave through a single output bushing. </w:t>
      </w:r>
      <w:r w:rsidR="00DB52EE">
        <w:rPr>
          <w:i/>
          <w:sz w:val="22"/>
          <w:szCs w:val="22"/>
        </w:rPr>
        <w:t xml:space="preserve"> </w:t>
      </w:r>
      <w:r w:rsidRPr="00F17CC5">
        <w:rPr>
          <w:i/>
          <w:sz w:val="22"/>
          <w:szCs w:val="22"/>
        </w:rPr>
        <w:t xml:space="preserve">The power supply is 480 volts, 60 Hz, 3 Phase. </w:t>
      </w:r>
    </w:p>
    <w:p w:rsidR="00F17CC5" w:rsidRPr="00F17CC5" w:rsidRDefault="00F17CC5" w:rsidP="00F17CC5">
      <w:pPr>
        <w:pStyle w:val="BodyText"/>
        <w:widowControl w:val="0"/>
        <w:numPr>
          <w:ilvl w:val="1"/>
          <w:numId w:val="14"/>
        </w:numPr>
        <w:spacing w:after="60"/>
        <w:ind w:left="720"/>
        <w:rPr>
          <w:i/>
          <w:sz w:val="22"/>
          <w:szCs w:val="22"/>
        </w:rPr>
      </w:pPr>
      <w:r w:rsidRPr="00F17CC5">
        <w:rPr>
          <w:i/>
          <w:sz w:val="22"/>
          <w:szCs w:val="22"/>
        </w:rPr>
        <w:t>T/R Set Ratings</w:t>
      </w:r>
    </w:p>
    <w:tbl>
      <w:tblPr>
        <w:tblW w:w="0" w:type="auto"/>
        <w:tblInd w:w="468" w:type="dxa"/>
        <w:tblCellMar>
          <w:left w:w="0" w:type="dxa"/>
          <w:right w:w="0" w:type="dxa"/>
        </w:tblCellMar>
        <w:tblLook w:val="04A0"/>
      </w:tblPr>
      <w:tblGrid>
        <w:gridCol w:w="1769"/>
        <w:gridCol w:w="1769"/>
        <w:gridCol w:w="1798"/>
        <w:gridCol w:w="1798"/>
        <w:gridCol w:w="1722"/>
      </w:tblGrid>
      <w:tr w:rsidR="00F17CC5" w:rsidRPr="00F17CC5" w:rsidTr="00F17CC5">
        <w:tc>
          <w:tcPr>
            <w:tcW w:w="17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17CC5" w:rsidRPr="00ED3873" w:rsidRDefault="00F17CC5" w:rsidP="00ED3873">
            <w:pPr>
              <w:pStyle w:val="BodyText"/>
              <w:widowControl w:val="0"/>
              <w:spacing w:before="20" w:after="20"/>
              <w:jc w:val="center"/>
              <w:rPr>
                <w:b/>
                <w:i/>
                <w:sz w:val="20"/>
              </w:rPr>
            </w:pPr>
            <w:r w:rsidRPr="00ED3873">
              <w:rPr>
                <w:b/>
                <w:i/>
                <w:sz w:val="20"/>
              </w:rPr>
              <w:t>Primary Volts AC</w:t>
            </w:r>
          </w:p>
        </w:tc>
        <w:tc>
          <w:tcPr>
            <w:tcW w:w="17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17CC5" w:rsidRPr="00ED3873" w:rsidRDefault="00F17CC5" w:rsidP="00ED3873">
            <w:pPr>
              <w:pStyle w:val="BodyText"/>
              <w:widowControl w:val="0"/>
              <w:spacing w:before="20" w:after="20"/>
              <w:jc w:val="center"/>
              <w:rPr>
                <w:b/>
                <w:i/>
                <w:sz w:val="20"/>
              </w:rPr>
            </w:pPr>
            <w:r w:rsidRPr="00ED3873">
              <w:rPr>
                <w:b/>
                <w:i/>
                <w:sz w:val="20"/>
              </w:rPr>
              <w:t>Primary Amps AC</w:t>
            </w:r>
          </w:p>
        </w:tc>
        <w:tc>
          <w:tcPr>
            <w:tcW w:w="17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17CC5" w:rsidRPr="00ED3873" w:rsidRDefault="00F17CC5" w:rsidP="00ED3873">
            <w:pPr>
              <w:pStyle w:val="BodyText"/>
              <w:widowControl w:val="0"/>
              <w:spacing w:before="20" w:after="20"/>
              <w:jc w:val="center"/>
              <w:rPr>
                <w:b/>
                <w:i/>
                <w:sz w:val="20"/>
              </w:rPr>
            </w:pPr>
            <w:r w:rsidRPr="00ED3873">
              <w:rPr>
                <w:b/>
                <w:i/>
                <w:sz w:val="20"/>
              </w:rPr>
              <w:t>Sec</w:t>
            </w:r>
            <w:r w:rsidR="00ED3873">
              <w:rPr>
                <w:b/>
                <w:i/>
                <w:sz w:val="20"/>
              </w:rPr>
              <w:t>ondary</w:t>
            </w:r>
            <w:r w:rsidR="00ED3873">
              <w:rPr>
                <w:b/>
                <w:i/>
                <w:sz w:val="20"/>
              </w:rPr>
              <w:br/>
            </w:r>
            <w:r w:rsidRPr="00ED3873">
              <w:rPr>
                <w:b/>
                <w:i/>
                <w:sz w:val="20"/>
              </w:rPr>
              <w:t>Volts DC</w:t>
            </w:r>
          </w:p>
        </w:tc>
        <w:tc>
          <w:tcPr>
            <w:tcW w:w="17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17CC5" w:rsidRPr="00ED3873" w:rsidRDefault="00ED3873" w:rsidP="00ED3873">
            <w:pPr>
              <w:pStyle w:val="BodyText"/>
              <w:widowControl w:val="0"/>
              <w:spacing w:before="20" w:after="20"/>
              <w:jc w:val="center"/>
              <w:rPr>
                <w:b/>
                <w:i/>
                <w:sz w:val="20"/>
              </w:rPr>
            </w:pPr>
            <w:r>
              <w:rPr>
                <w:b/>
                <w:i/>
                <w:sz w:val="20"/>
              </w:rPr>
              <w:t>Secondary</w:t>
            </w:r>
            <w:r>
              <w:rPr>
                <w:b/>
                <w:i/>
                <w:sz w:val="20"/>
              </w:rPr>
              <w:br/>
            </w:r>
            <w:r w:rsidR="00F17CC5" w:rsidRPr="00ED3873">
              <w:rPr>
                <w:b/>
                <w:i/>
                <w:sz w:val="20"/>
              </w:rPr>
              <w:t>Amps DC</w:t>
            </w:r>
          </w:p>
        </w:tc>
        <w:tc>
          <w:tcPr>
            <w:tcW w:w="172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F17CC5" w:rsidRPr="00ED3873" w:rsidRDefault="00F17CC5" w:rsidP="00ED3873">
            <w:pPr>
              <w:pStyle w:val="BodyText"/>
              <w:widowControl w:val="0"/>
              <w:spacing w:before="20" w:after="20"/>
              <w:jc w:val="center"/>
              <w:rPr>
                <w:b/>
                <w:i/>
                <w:sz w:val="20"/>
              </w:rPr>
            </w:pPr>
            <w:r w:rsidRPr="00ED3873">
              <w:rPr>
                <w:b/>
                <w:i/>
                <w:sz w:val="20"/>
              </w:rPr>
              <w:t>KVA</w:t>
            </w:r>
          </w:p>
        </w:tc>
      </w:tr>
      <w:tr w:rsidR="00F17CC5" w:rsidRPr="00F17CC5" w:rsidTr="004A7A4B">
        <w:tc>
          <w:tcPr>
            <w:tcW w:w="17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17CC5" w:rsidRPr="00ED3873" w:rsidRDefault="00F17CC5" w:rsidP="00ED3873">
            <w:pPr>
              <w:pStyle w:val="BodyText"/>
              <w:widowControl w:val="0"/>
              <w:spacing w:before="20" w:after="20"/>
              <w:jc w:val="center"/>
              <w:rPr>
                <w:i/>
                <w:sz w:val="20"/>
              </w:rPr>
            </w:pPr>
            <w:r w:rsidRPr="00ED3873">
              <w:rPr>
                <w:i/>
                <w:sz w:val="20"/>
              </w:rPr>
              <w:t>480 V</w:t>
            </w:r>
          </w:p>
        </w:tc>
        <w:tc>
          <w:tcPr>
            <w:tcW w:w="17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7CC5" w:rsidRPr="00ED3873" w:rsidRDefault="00F17CC5" w:rsidP="00ED3873">
            <w:pPr>
              <w:pStyle w:val="BodyText"/>
              <w:widowControl w:val="0"/>
              <w:spacing w:before="20" w:after="20"/>
              <w:jc w:val="center"/>
              <w:rPr>
                <w:i/>
                <w:sz w:val="20"/>
              </w:rPr>
            </w:pPr>
            <w:r w:rsidRPr="00ED3873">
              <w:rPr>
                <w:i/>
                <w:sz w:val="20"/>
              </w:rPr>
              <w:t>84 Amps</w:t>
            </w:r>
          </w:p>
        </w:tc>
        <w:tc>
          <w:tcPr>
            <w:tcW w:w="17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7CC5" w:rsidRPr="00ED3873" w:rsidRDefault="00F17CC5" w:rsidP="00ED3873">
            <w:pPr>
              <w:pStyle w:val="BodyText"/>
              <w:widowControl w:val="0"/>
              <w:spacing w:before="20" w:after="20"/>
              <w:jc w:val="center"/>
              <w:rPr>
                <w:i/>
                <w:sz w:val="20"/>
              </w:rPr>
            </w:pPr>
            <w:r w:rsidRPr="00ED3873">
              <w:rPr>
                <w:i/>
                <w:sz w:val="20"/>
              </w:rPr>
              <w:t>55 kV</w:t>
            </w:r>
          </w:p>
        </w:tc>
        <w:tc>
          <w:tcPr>
            <w:tcW w:w="17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7CC5" w:rsidRPr="00ED3873" w:rsidRDefault="00F17CC5" w:rsidP="00ED3873">
            <w:pPr>
              <w:pStyle w:val="BodyText"/>
              <w:widowControl w:val="0"/>
              <w:spacing w:before="20" w:after="20"/>
              <w:jc w:val="center"/>
              <w:rPr>
                <w:i/>
                <w:sz w:val="20"/>
              </w:rPr>
            </w:pPr>
            <w:r w:rsidRPr="00ED3873">
              <w:rPr>
                <w:i/>
                <w:sz w:val="20"/>
              </w:rPr>
              <w:t>500 mA</w:t>
            </w:r>
          </w:p>
        </w:tc>
        <w:tc>
          <w:tcPr>
            <w:tcW w:w="17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7CC5" w:rsidRPr="00ED3873" w:rsidRDefault="00F17CC5" w:rsidP="00ED3873">
            <w:pPr>
              <w:pStyle w:val="BodyText"/>
              <w:widowControl w:val="0"/>
              <w:spacing w:before="20" w:after="20"/>
              <w:jc w:val="center"/>
              <w:rPr>
                <w:i/>
                <w:sz w:val="20"/>
              </w:rPr>
            </w:pPr>
            <w:r w:rsidRPr="00ED3873">
              <w:rPr>
                <w:i/>
                <w:sz w:val="20"/>
              </w:rPr>
              <w:t>38.6 kVA</w:t>
            </w:r>
          </w:p>
        </w:tc>
      </w:tr>
    </w:tbl>
    <w:p w:rsidR="00F17CC5" w:rsidRPr="00F17CC5" w:rsidRDefault="00F17CC5" w:rsidP="00F17CC5">
      <w:pPr>
        <w:pStyle w:val="BodyText"/>
        <w:widowControl w:val="0"/>
        <w:numPr>
          <w:ilvl w:val="0"/>
          <w:numId w:val="14"/>
        </w:numPr>
        <w:spacing w:before="120" w:after="60"/>
        <w:ind w:left="360"/>
        <w:rPr>
          <w:i/>
          <w:sz w:val="22"/>
          <w:szCs w:val="22"/>
        </w:rPr>
      </w:pPr>
      <w:r w:rsidRPr="00F17CC5">
        <w:rPr>
          <w:i/>
          <w:sz w:val="22"/>
          <w:szCs w:val="22"/>
        </w:rPr>
        <w:lastRenderedPageBreak/>
        <w:t>Both utilize BHA SQ300 Controls for the Rappers and T/R Sets.</w:t>
      </w:r>
    </w:p>
    <w:p w:rsidR="00F17CC5" w:rsidRPr="00F17CC5" w:rsidRDefault="00F17CC5" w:rsidP="00F17CC5">
      <w:pPr>
        <w:pStyle w:val="BodyText"/>
        <w:widowControl w:val="0"/>
        <w:numPr>
          <w:ilvl w:val="0"/>
          <w:numId w:val="14"/>
        </w:numPr>
        <w:ind w:left="360"/>
        <w:rPr>
          <w:i/>
          <w:sz w:val="22"/>
          <w:szCs w:val="22"/>
        </w:rPr>
      </w:pPr>
      <w:r w:rsidRPr="00F17CC5">
        <w:rPr>
          <w:i/>
          <w:sz w:val="22"/>
          <w:szCs w:val="22"/>
        </w:rPr>
        <w:t>There are a few subtle differences that overall should not i</w:t>
      </w:r>
      <w:r w:rsidR="00DB52EE">
        <w:rPr>
          <w:i/>
          <w:sz w:val="22"/>
          <w:szCs w:val="22"/>
        </w:rPr>
        <w:t xml:space="preserve">mpact dust removal performance. </w:t>
      </w:r>
      <w:r w:rsidRPr="00F17CC5">
        <w:rPr>
          <w:i/>
          <w:sz w:val="22"/>
          <w:szCs w:val="22"/>
        </w:rPr>
        <w:t xml:space="preserve"> These differences are in the style of electrodes and plates in various fields.</w:t>
      </w:r>
    </w:p>
    <w:p w:rsidR="00B7612C" w:rsidRDefault="00F17CC5" w:rsidP="007E0CED">
      <w:pPr>
        <w:pStyle w:val="BodyText"/>
        <w:widowControl w:val="0"/>
        <w:rPr>
          <w:sz w:val="22"/>
          <w:szCs w:val="22"/>
        </w:rPr>
      </w:pPr>
      <w:r>
        <w:rPr>
          <w:sz w:val="22"/>
          <w:szCs w:val="22"/>
        </w:rPr>
        <w:t xml:space="preserve">Based </w:t>
      </w:r>
      <w:r w:rsidR="001329FA">
        <w:rPr>
          <w:sz w:val="22"/>
          <w:szCs w:val="22"/>
        </w:rPr>
        <w:t xml:space="preserve">on </w:t>
      </w:r>
      <w:r>
        <w:rPr>
          <w:sz w:val="22"/>
          <w:szCs w:val="22"/>
        </w:rPr>
        <w:t>the Departments review of these specifications</w:t>
      </w:r>
      <w:r w:rsidR="004A7A4B">
        <w:rPr>
          <w:sz w:val="22"/>
          <w:szCs w:val="22"/>
        </w:rPr>
        <w:t xml:space="preserve"> and correspondence,</w:t>
      </w:r>
      <w:r>
        <w:rPr>
          <w:sz w:val="22"/>
          <w:szCs w:val="22"/>
        </w:rPr>
        <w:t xml:space="preserve"> it has reasonable assurance that PM emission</w:t>
      </w:r>
      <w:r w:rsidR="004A7A4B">
        <w:rPr>
          <w:sz w:val="22"/>
          <w:szCs w:val="22"/>
        </w:rPr>
        <w:t>s</w:t>
      </w:r>
      <w:r>
        <w:rPr>
          <w:sz w:val="22"/>
          <w:szCs w:val="22"/>
        </w:rPr>
        <w:t xml:space="preserve"> will not increase as a result of this project.  </w:t>
      </w:r>
      <w:r w:rsidR="00987C82">
        <w:rPr>
          <w:sz w:val="22"/>
          <w:szCs w:val="22"/>
        </w:rPr>
        <w:t>The Department will require that a PM emission</w:t>
      </w:r>
      <w:r w:rsidR="00D679C8">
        <w:rPr>
          <w:sz w:val="22"/>
          <w:szCs w:val="22"/>
        </w:rPr>
        <w:t>s rate</w:t>
      </w:r>
      <w:r w:rsidR="00987C82">
        <w:rPr>
          <w:sz w:val="22"/>
          <w:szCs w:val="22"/>
        </w:rPr>
        <w:t xml:space="preserve"> stack test be conducted within 90 days of replacement ESP becoming operational on the No. 4 combination boiler to verify that the permitted </w:t>
      </w:r>
      <w:r w:rsidR="004A7A4B">
        <w:rPr>
          <w:sz w:val="22"/>
          <w:szCs w:val="22"/>
        </w:rPr>
        <w:t xml:space="preserve">PM </w:t>
      </w:r>
      <w:r w:rsidR="00987C82">
        <w:rPr>
          <w:sz w:val="22"/>
          <w:szCs w:val="22"/>
        </w:rPr>
        <w:t xml:space="preserve">emission rates contained in the current Title V Air Operation permit No. 1070005-074-AV are not exceeded.  </w:t>
      </w:r>
      <w:r w:rsidR="00D679C8" w:rsidRPr="00D679C8">
        <w:rPr>
          <w:sz w:val="22"/>
          <w:szCs w:val="22"/>
        </w:rPr>
        <w:t>The test methods and conditions specified in the Title V permit shall be utilized</w:t>
      </w:r>
      <w:r w:rsidR="00D679C8">
        <w:rPr>
          <w:sz w:val="22"/>
          <w:szCs w:val="22"/>
        </w:rPr>
        <w:t xml:space="preserve"> for this stack testing</w:t>
      </w:r>
      <w:r w:rsidR="00D679C8" w:rsidRPr="00D679C8">
        <w:rPr>
          <w:sz w:val="22"/>
          <w:szCs w:val="22"/>
        </w:rPr>
        <w:t>.  Results shall be reported to the Compliance Authority with 30 days of the completion of the stack testing.</w:t>
      </w:r>
      <w:r w:rsidR="00D679C8">
        <w:rPr>
          <w:sz w:val="22"/>
          <w:szCs w:val="22"/>
        </w:rPr>
        <w:t xml:space="preserve">  </w:t>
      </w:r>
      <w:r w:rsidR="00987C82">
        <w:rPr>
          <w:sz w:val="22"/>
          <w:szCs w:val="22"/>
        </w:rPr>
        <w:t xml:space="preserve">In addition, the </w:t>
      </w:r>
      <w:r w:rsidR="001329FA">
        <w:rPr>
          <w:sz w:val="22"/>
          <w:szCs w:val="22"/>
        </w:rPr>
        <w:t>D</w:t>
      </w:r>
      <w:r w:rsidR="00987C82" w:rsidRPr="001329FA">
        <w:rPr>
          <w:sz w:val="22"/>
          <w:szCs w:val="22"/>
        </w:rPr>
        <w:t>epartment</w:t>
      </w:r>
      <w:r w:rsidR="00987C82">
        <w:rPr>
          <w:sz w:val="22"/>
          <w:szCs w:val="22"/>
        </w:rPr>
        <w:t xml:space="preserve"> will require that the applicant</w:t>
      </w:r>
      <w:r w:rsidR="00243A64">
        <w:rPr>
          <w:sz w:val="22"/>
          <w:szCs w:val="22"/>
        </w:rPr>
        <w:t xml:space="preserve"> submit annual reports for five years to verify </w:t>
      </w:r>
      <w:r w:rsidR="00987C82">
        <w:rPr>
          <w:sz w:val="22"/>
          <w:szCs w:val="22"/>
        </w:rPr>
        <w:t>PM emission rates</w:t>
      </w:r>
      <w:r w:rsidR="00243A64">
        <w:rPr>
          <w:sz w:val="22"/>
          <w:szCs w:val="22"/>
        </w:rPr>
        <w:t xml:space="preserve">.  </w:t>
      </w:r>
    </w:p>
    <w:p w:rsidR="00193F10" w:rsidRPr="00987C82" w:rsidRDefault="00193F10" w:rsidP="00987C82">
      <w:pPr>
        <w:pStyle w:val="ListParagraph"/>
        <w:numPr>
          <w:ilvl w:val="0"/>
          <w:numId w:val="13"/>
        </w:numPr>
        <w:spacing w:after="120"/>
        <w:ind w:left="720" w:hanging="720"/>
        <w:contextualSpacing w:val="0"/>
        <w:rPr>
          <w:rFonts w:ascii="Times New Roman" w:hAnsi="Times New Roman" w:cs="Times New Roman"/>
          <w:b/>
          <w:caps/>
        </w:rPr>
      </w:pPr>
      <w:r w:rsidRPr="00987C82">
        <w:rPr>
          <w:rFonts w:ascii="Times New Roman" w:hAnsi="Times New Roman" w:cs="Times New Roman"/>
          <w:b/>
          <w:caps/>
        </w:rPr>
        <w:t>Preliminary Determination</w:t>
      </w:r>
    </w:p>
    <w:p w:rsidR="00193F10" w:rsidRPr="00744B89" w:rsidRDefault="00193F10" w:rsidP="00767228">
      <w:pPr>
        <w:widowControl w:val="0"/>
        <w:spacing w:after="120"/>
        <w:rPr>
          <w:sz w:val="22"/>
        </w:rPr>
      </w:pPr>
      <w:r>
        <w:rPr>
          <w:sz w:val="22"/>
        </w:rPr>
        <w:t xml:space="preserve">The Department makes a preliminary determination that the proposed project will comply with all applicable state and federal air pollution regulations as conditioned by the draft permit.  </w:t>
      </w:r>
      <w:r w:rsidR="00673025">
        <w:rPr>
          <w:sz w:val="22"/>
        </w:rPr>
        <w:t>David Read</w:t>
      </w:r>
      <w:r>
        <w:rPr>
          <w:sz w:val="22"/>
        </w:rPr>
        <w:t xml:space="preserve"> is the project engineer responsible for reviewing the application and drafting the permit.  Additional details of this analysis may be obtained by contacting </w:t>
      </w:r>
      <w:r w:rsidR="00673025">
        <w:rPr>
          <w:sz w:val="22"/>
        </w:rPr>
        <w:t>Mr. Read</w:t>
      </w:r>
      <w:r w:rsidR="00767228">
        <w:rPr>
          <w:sz w:val="22"/>
        </w:rPr>
        <w:t xml:space="preserve"> at 850-717-9</w:t>
      </w:r>
      <w:r w:rsidR="00673025">
        <w:rPr>
          <w:sz w:val="22"/>
        </w:rPr>
        <w:t>075, by email at</w:t>
      </w:r>
      <w:r w:rsidR="00767228">
        <w:rPr>
          <w:sz w:val="22"/>
        </w:rPr>
        <w:t xml:space="preserve"> </w:t>
      </w:r>
      <w:hyperlink r:id="rId9" w:history="1">
        <w:r w:rsidR="00673025" w:rsidRPr="009F72CE">
          <w:rPr>
            <w:rStyle w:val="Hyperlink"/>
            <w:sz w:val="22"/>
          </w:rPr>
          <w:t>david.read@dep.state.fl.us</w:t>
        </w:r>
      </w:hyperlink>
      <w:r w:rsidR="00673025">
        <w:t xml:space="preserve"> </w:t>
      </w:r>
      <w:r w:rsidR="00767228">
        <w:rPr>
          <w:sz w:val="22"/>
        </w:rPr>
        <w:t xml:space="preserve">or </w:t>
      </w:r>
      <w:r w:rsidR="00673025">
        <w:rPr>
          <w:sz w:val="22"/>
        </w:rPr>
        <w:t xml:space="preserve">by mail </w:t>
      </w:r>
      <w:r>
        <w:rPr>
          <w:sz w:val="22"/>
        </w:rPr>
        <w:t xml:space="preserve">at the Department’s </w:t>
      </w:r>
      <w:r w:rsidR="00767228">
        <w:rPr>
          <w:sz w:val="22"/>
        </w:rPr>
        <w:t xml:space="preserve">Office of Permitting and Compliance </w:t>
      </w:r>
      <w:r>
        <w:rPr>
          <w:sz w:val="22"/>
        </w:rPr>
        <w:t>at Mail Station #5505, 2600 Blair Stone Road, Tallahassee, Florida  32399-2400.</w:t>
      </w:r>
    </w:p>
    <w:sectPr w:rsidR="00193F10" w:rsidRPr="00744B89" w:rsidSect="00DB52EE">
      <w:headerReference w:type="default" r:id="rId10"/>
      <w:footerReference w:type="default" r:id="rId11"/>
      <w:headerReference w:type="first" r:id="rId12"/>
      <w:footerReference w:type="first" r:id="rId13"/>
      <w:pgSz w:w="12240" w:h="15840" w:code="1"/>
      <w:pgMar w:top="900" w:right="1080" w:bottom="720" w:left="1080" w:header="432" w:footer="290" w:gutter="0"/>
      <w:paperSrc w:first="15" w:other="15"/>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3D3" w:rsidRDefault="002123D3">
      <w:r>
        <w:separator/>
      </w:r>
    </w:p>
  </w:endnote>
  <w:endnote w:type="continuationSeparator" w:id="0">
    <w:p w:rsidR="002123D3" w:rsidRDefault="002123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3D3" w:rsidRPr="00C02BEB" w:rsidRDefault="002123D3" w:rsidP="00767228">
    <w:pPr>
      <w:pBdr>
        <w:top w:val="single" w:sz="6" w:space="1" w:color="auto"/>
      </w:pBdr>
      <w:tabs>
        <w:tab w:val="right" w:pos="10080"/>
      </w:tabs>
      <w:spacing w:before="240"/>
      <w:rPr>
        <w:rStyle w:val="PageNumber"/>
        <w:highlight w:val="yellow"/>
      </w:rPr>
    </w:pPr>
    <w:r w:rsidRPr="00256144">
      <w:t>Georgia-Pacific Consumer Operations, LLC</w:t>
    </w:r>
    <w:r w:rsidRPr="00C02BEB">
      <w:rPr>
        <w:rStyle w:val="PageNumber"/>
      </w:rPr>
      <w:tab/>
    </w:r>
    <w:r w:rsidRPr="00256144">
      <w:rPr>
        <w:rStyle w:val="PageNumber"/>
      </w:rPr>
      <w:t>Air Permit No.</w:t>
    </w:r>
    <w:r w:rsidRPr="00B92D6B">
      <w:rPr>
        <w:rStyle w:val="PageNumber"/>
      </w:rPr>
      <w:t xml:space="preserve"> 1070005-0</w:t>
    </w:r>
    <w:r>
      <w:rPr>
        <w:rStyle w:val="PageNumber"/>
      </w:rPr>
      <w:t>78</w:t>
    </w:r>
    <w:r w:rsidRPr="00B92D6B">
      <w:rPr>
        <w:rStyle w:val="PageNumber"/>
      </w:rPr>
      <w:t>-AC</w:t>
    </w:r>
  </w:p>
  <w:p w:rsidR="002123D3" w:rsidRPr="00C02BEB" w:rsidRDefault="002123D3" w:rsidP="00772A4D">
    <w:pPr>
      <w:pBdr>
        <w:top w:val="single" w:sz="6" w:space="1" w:color="auto"/>
      </w:pBdr>
      <w:tabs>
        <w:tab w:val="right" w:pos="10080"/>
      </w:tabs>
      <w:rPr>
        <w:rStyle w:val="PageNumber"/>
      </w:rPr>
    </w:pPr>
    <w:r w:rsidRPr="00256144">
      <w:rPr>
        <w:rStyle w:val="PageNumber"/>
      </w:rPr>
      <w:t>Palatka Mill, No. 4 Combination Boiler</w:t>
    </w:r>
    <w:r w:rsidRPr="00C02BEB">
      <w:rPr>
        <w:rStyle w:val="PageNumber"/>
      </w:rPr>
      <w:tab/>
    </w:r>
    <w:r>
      <w:rPr>
        <w:rStyle w:val="PageNumber"/>
      </w:rPr>
      <w:t>Electrostatic Precipitator</w:t>
    </w:r>
    <w:r w:rsidRPr="00256144">
      <w:rPr>
        <w:rStyle w:val="PageNumber"/>
      </w:rPr>
      <w:t xml:space="preserve"> Replacement</w:t>
    </w:r>
  </w:p>
  <w:p w:rsidR="002123D3" w:rsidRDefault="002123D3">
    <w:pPr>
      <w:pStyle w:val="Footer"/>
      <w:tabs>
        <w:tab w:val="clear" w:pos="4320"/>
        <w:tab w:val="clear" w:pos="8640"/>
      </w:tabs>
      <w:jc w:val="cente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EB0238">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B0238">
      <w:rPr>
        <w:rStyle w:val="PageNumber"/>
        <w:noProof/>
      </w:rPr>
      <w:t>5</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3D3" w:rsidRDefault="002123D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3D3" w:rsidRDefault="002123D3">
      <w:r>
        <w:separator/>
      </w:r>
    </w:p>
  </w:footnote>
  <w:footnote w:type="continuationSeparator" w:id="0">
    <w:p w:rsidR="002123D3" w:rsidRDefault="002123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3D3" w:rsidRDefault="002123D3">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3D3" w:rsidRDefault="002123D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42E5BB4"/>
    <w:multiLevelType w:val="hybridMultilevel"/>
    <w:tmpl w:val="A3CE8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552B6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F345501"/>
    <w:multiLevelType w:val="hybridMultilevel"/>
    <w:tmpl w:val="7F6A6550"/>
    <w:lvl w:ilvl="0" w:tplc="221E5B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388440B"/>
    <w:multiLevelType w:val="hybridMultilevel"/>
    <w:tmpl w:val="203A9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6560D7"/>
    <w:multiLevelType w:val="hybridMultilevel"/>
    <w:tmpl w:val="D026D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38A6E78"/>
    <w:multiLevelType w:val="hybridMultilevel"/>
    <w:tmpl w:val="F1ACF006"/>
    <w:lvl w:ilvl="0" w:tplc="B226F4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68275E13"/>
    <w:multiLevelType w:val="hybridMultilevel"/>
    <w:tmpl w:val="2D0CAA48"/>
    <w:lvl w:ilvl="0" w:tplc="3A869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0B5C8F"/>
    <w:multiLevelType w:val="hybridMultilevel"/>
    <w:tmpl w:val="53901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A8B6857"/>
    <w:multiLevelType w:val="hybridMultilevel"/>
    <w:tmpl w:val="36DE5312"/>
    <w:lvl w:ilvl="0" w:tplc="61BE35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7F0A21"/>
    <w:multiLevelType w:val="hybridMultilevel"/>
    <w:tmpl w:val="9C028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DC1319C"/>
    <w:multiLevelType w:val="hybridMultilevel"/>
    <w:tmpl w:val="06A41748"/>
    <w:lvl w:ilvl="0" w:tplc="801C2268">
      <w:start w:val="1"/>
      <w:numFmt w:val="decimal"/>
      <w:lvlText w:val="%1."/>
      <w:lvlJc w:val="left"/>
      <w:pPr>
        <w:tabs>
          <w:tab w:val="num" w:pos="1080"/>
        </w:tabs>
        <w:ind w:left="108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7FC57859"/>
    <w:multiLevelType w:val="hybridMultilevel"/>
    <w:tmpl w:val="897AA1EC"/>
    <w:lvl w:ilvl="0" w:tplc="0409000F">
      <w:start w:val="1"/>
      <w:numFmt w:val="decimal"/>
      <w:lvlText w:val="%1."/>
      <w:lvlJc w:val="left"/>
      <w:pPr>
        <w:ind w:left="804" w:hanging="360"/>
      </w:p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num w:numId="1">
    <w:abstractNumId w:val="4"/>
  </w:num>
  <w:num w:numId="2">
    <w:abstractNumId w:val="13"/>
  </w:num>
  <w:num w:numId="3">
    <w:abstractNumId w:val="0"/>
  </w:num>
  <w:num w:numId="4">
    <w:abstractNumId w:val="3"/>
  </w:num>
  <w:num w:numId="5">
    <w:abstractNumId w:val="5"/>
  </w:num>
  <w:num w:numId="6">
    <w:abstractNumId w:val="8"/>
  </w:num>
  <w:num w:numId="7">
    <w:abstractNumId w:val="6"/>
  </w:num>
  <w:num w:numId="8">
    <w:abstractNumId w:val="10"/>
  </w:num>
  <w:num w:numId="9">
    <w:abstractNumId w:val="1"/>
  </w:num>
  <w:num w:numId="10">
    <w:abstractNumId w:val="12"/>
  </w:num>
  <w:num w:numId="11">
    <w:abstractNumId w:val="7"/>
  </w:num>
  <w:num w:numId="12">
    <w:abstractNumId w:val="16"/>
  </w:num>
  <w:num w:numId="13">
    <w:abstractNumId w:val="2"/>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stylePaneFormatFilter w:val="3F01"/>
  <w:defaultTabStop w:val="360"/>
  <w:drawingGridHorizontalSpacing w:val="10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rsids>
    <w:rsidRoot w:val="00193F10"/>
    <w:rsid w:val="000079C7"/>
    <w:rsid w:val="00021F25"/>
    <w:rsid w:val="0002422A"/>
    <w:rsid w:val="00032C93"/>
    <w:rsid w:val="00044695"/>
    <w:rsid w:val="000539F9"/>
    <w:rsid w:val="00057114"/>
    <w:rsid w:val="000633FE"/>
    <w:rsid w:val="000723A0"/>
    <w:rsid w:val="000818EE"/>
    <w:rsid w:val="00086350"/>
    <w:rsid w:val="000915FF"/>
    <w:rsid w:val="000943D4"/>
    <w:rsid w:val="000A029D"/>
    <w:rsid w:val="000A102B"/>
    <w:rsid w:val="000B3208"/>
    <w:rsid w:val="000B3948"/>
    <w:rsid w:val="000B4B28"/>
    <w:rsid w:val="000B52C7"/>
    <w:rsid w:val="000B75B0"/>
    <w:rsid w:val="000C5143"/>
    <w:rsid w:val="000D01C6"/>
    <w:rsid w:val="000D1923"/>
    <w:rsid w:val="000D4FE4"/>
    <w:rsid w:val="000D57C7"/>
    <w:rsid w:val="000E42D3"/>
    <w:rsid w:val="000F162F"/>
    <w:rsid w:val="001051E7"/>
    <w:rsid w:val="00111453"/>
    <w:rsid w:val="00113AF8"/>
    <w:rsid w:val="0011452C"/>
    <w:rsid w:val="00114ACE"/>
    <w:rsid w:val="00123499"/>
    <w:rsid w:val="001273DE"/>
    <w:rsid w:val="001329FA"/>
    <w:rsid w:val="00135ADF"/>
    <w:rsid w:val="00137DBD"/>
    <w:rsid w:val="00140CD4"/>
    <w:rsid w:val="00143813"/>
    <w:rsid w:val="0014515A"/>
    <w:rsid w:val="00145B1B"/>
    <w:rsid w:val="00157BE0"/>
    <w:rsid w:val="001622A0"/>
    <w:rsid w:val="00162E21"/>
    <w:rsid w:val="001654FF"/>
    <w:rsid w:val="001771DC"/>
    <w:rsid w:val="00181DBE"/>
    <w:rsid w:val="001859B0"/>
    <w:rsid w:val="00193F10"/>
    <w:rsid w:val="00194AA6"/>
    <w:rsid w:val="00195175"/>
    <w:rsid w:val="001A09F7"/>
    <w:rsid w:val="001A19D8"/>
    <w:rsid w:val="001B1F49"/>
    <w:rsid w:val="001B2A76"/>
    <w:rsid w:val="001B47B4"/>
    <w:rsid w:val="001B7B44"/>
    <w:rsid w:val="001C23AC"/>
    <w:rsid w:val="001C4E37"/>
    <w:rsid w:val="001C61CF"/>
    <w:rsid w:val="001C6B98"/>
    <w:rsid w:val="001C7A36"/>
    <w:rsid w:val="001D1649"/>
    <w:rsid w:val="001D1DE3"/>
    <w:rsid w:val="001D487F"/>
    <w:rsid w:val="001E2CD6"/>
    <w:rsid w:val="001F369F"/>
    <w:rsid w:val="001F5B7F"/>
    <w:rsid w:val="00201860"/>
    <w:rsid w:val="00203615"/>
    <w:rsid w:val="00204192"/>
    <w:rsid w:val="00207715"/>
    <w:rsid w:val="00211C1F"/>
    <w:rsid w:val="002123D3"/>
    <w:rsid w:val="002204C3"/>
    <w:rsid w:val="002224D8"/>
    <w:rsid w:val="002225DD"/>
    <w:rsid w:val="002262E8"/>
    <w:rsid w:val="00241BE6"/>
    <w:rsid w:val="00242F8B"/>
    <w:rsid w:val="00243A64"/>
    <w:rsid w:val="0024738C"/>
    <w:rsid w:val="00247B71"/>
    <w:rsid w:val="002544C4"/>
    <w:rsid w:val="00257BD8"/>
    <w:rsid w:val="002746D9"/>
    <w:rsid w:val="00275A77"/>
    <w:rsid w:val="00280AC9"/>
    <w:rsid w:val="00280E4D"/>
    <w:rsid w:val="0028202E"/>
    <w:rsid w:val="002A28C2"/>
    <w:rsid w:val="002A5096"/>
    <w:rsid w:val="002E3659"/>
    <w:rsid w:val="002E51C8"/>
    <w:rsid w:val="002F0E6E"/>
    <w:rsid w:val="00302267"/>
    <w:rsid w:val="00307A86"/>
    <w:rsid w:val="00307EBE"/>
    <w:rsid w:val="003215A9"/>
    <w:rsid w:val="00325492"/>
    <w:rsid w:val="00330E51"/>
    <w:rsid w:val="0033363A"/>
    <w:rsid w:val="00346552"/>
    <w:rsid w:val="00362639"/>
    <w:rsid w:val="00362B27"/>
    <w:rsid w:val="003802DC"/>
    <w:rsid w:val="00383433"/>
    <w:rsid w:val="00383531"/>
    <w:rsid w:val="003856BD"/>
    <w:rsid w:val="003858DE"/>
    <w:rsid w:val="00392795"/>
    <w:rsid w:val="0039482F"/>
    <w:rsid w:val="003A1144"/>
    <w:rsid w:val="003A3C29"/>
    <w:rsid w:val="003A6F59"/>
    <w:rsid w:val="003B1E0A"/>
    <w:rsid w:val="003C0968"/>
    <w:rsid w:val="003D7007"/>
    <w:rsid w:val="003E546F"/>
    <w:rsid w:val="003E683A"/>
    <w:rsid w:val="003F1AFB"/>
    <w:rsid w:val="003F267E"/>
    <w:rsid w:val="00400C47"/>
    <w:rsid w:val="0040283C"/>
    <w:rsid w:val="0043123B"/>
    <w:rsid w:val="004318F9"/>
    <w:rsid w:val="004414F2"/>
    <w:rsid w:val="004453A5"/>
    <w:rsid w:val="004462B8"/>
    <w:rsid w:val="00446FE7"/>
    <w:rsid w:val="0045505C"/>
    <w:rsid w:val="00462565"/>
    <w:rsid w:val="00463474"/>
    <w:rsid w:val="004665E5"/>
    <w:rsid w:val="00466A3B"/>
    <w:rsid w:val="00474834"/>
    <w:rsid w:val="004760B8"/>
    <w:rsid w:val="004834B5"/>
    <w:rsid w:val="00487B36"/>
    <w:rsid w:val="004912D6"/>
    <w:rsid w:val="004914E7"/>
    <w:rsid w:val="0049164A"/>
    <w:rsid w:val="004A0306"/>
    <w:rsid w:val="004A0601"/>
    <w:rsid w:val="004A7A4B"/>
    <w:rsid w:val="004B5185"/>
    <w:rsid w:val="004B57A0"/>
    <w:rsid w:val="004B681F"/>
    <w:rsid w:val="004C0984"/>
    <w:rsid w:val="004C342F"/>
    <w:rsid w:val="004D1D9F"/>
    <w:rsid w:val="004D49CB"/>
    <w:rsid w:val="004E460D"/>
    <w:rsid w:val="004E48C8"/>
    <w:rsid w:val="004E6565"/>
    <w:rsid w:val="004F15ED"/>
    <w:rsid w:val="004F293C"/>
    <w:rsid w:val="004F3ABD"/>
    <w:rsid w:val="00503E84"/>
    <w:rsid w:val="005079C5"/>
    <w:rsid w:val="00531713"/>
    <w:rsid w:val="00537DF6"/>
    <w:rsid w:val="005419F4"/>
    <w:rsid w:val="005479D5"/>
    <w:rsid w:val="00547D76"/>
    <w:rsid w:val="00550FD1"/>
    <w:rsid w:val="00553544"/>
    <w:rsid w:val="00554A52"/>
    <w:rsid w:val="005564B6"/>
    <w:rsid w:val="00565A8A"/>
    <w:rsid w:val="0057636F"/>
    <w:rsid w:val="00592ADA"/>
    <w:rsid w:val="005B476F"/>
    <w:rsid w:val="005D7021"/>
    <w:rsid w:val="005E36E4"/>
    <w:rsid w:val="005E3CB0"/>
    <w:rsid w:val="005F05B0"/>
    <w:rsid w:val="005F0937"/>
    <w:rsid w:val="005F1FE3"/>
    <w:rsid w:val="005F457F"/>
    <w:rsid w:val="005F72B6"/>
    <w:rsid w:val="0060016B"/>
    <w:rsid w:val="0060062E"/>
    <w:rsid w:val="0061317B"/>
    <w:rsid w:val="00617209"/>
    <w:rsid w:val="0061784A"/>
    <w:rsid w:val="0063728F"/>
    <w:rsid w:val="00643DD1"/>
    <w:rsid w:val="00646A80"/>
    <w:rsid w:val="0065214A"/>
    <w:rsid w:val="00670D7C"/>
    <w:rsid w:val="00673025"/>
    <w:rsid w:val="00684184"/>
    <w:rsid w:val="00686486"/>
    <w:rsid w:val="006875A9"/>
    <w:rsid w:val="006A2057"/>
    <w:rsid w:val="006A2A4B"/>
    <w:rsid w:val="006A2A7E"/>
    <w:rsid w:val="006A5467"/>
    <w:rsid w:val="006A7991"/>
    <w:rsid w:val="006B6EFE"/>
    <w:rsid w:val="006C64AF"/>
    <w:rsid w:val="006D139D"/>
    <w:rsid w:val="006E37E9"/>
    <w:rsid w:val="006F74B1"/>
    <w:rsid w:val="00701FEF"/>
    <w:rsid w:val="00721479"/>
    <w:rsid w:val="007217EC"/>
    <w:rsid w:val="007266C7"/>
    <w:rsid w:val="00730EB8"/>
    <w:rsid w:val="007344B4"/>
    <w:rsid w:val="007404C9"/>
    <w:rsid w:val="00741F1A"/>
    <w:rsid w:val="00744B89"/>
    <w:rsid w:val="00762E18"/>
    <w:rsid w:val="00767228"/>
    <w:rsid w:val="00772A4D"/>
    <w:rsid w:val="007747AA"/>
    <w:rsid w:val="00777065"/>
    <w:rsid w:val="00780DA9"/>
    <w:rsid w:val="00782ABD"/>
    <w:rsid w:val="00786837"/>
    <w:rsid w:val="007935BB"/>
    <w:rsid w:val="0079635E"/>
    <w:rsid w:val="007A2E65"/>
    <w:rsid w:val="007A4E96"/>
    <w:rsid w:val="007A59B9"/>
    <w:rsid w:val="007A77F5"/>
    <w:rsid w:val="007B1041"/>
    <w:rsid w:val="007B268B"/>
    <w:rsid w:val="007B29DB"/>
    <w:rsid w:val="007C61D5"/>
    <w:rsid w:val="007D2433"/>
    <w:rsid w:val="007E0CED"/>
    <w:rsid w:val="007E5CA3"/>
    <w:rsid w:val="007E6887"/>
    <w:rsid w:val="007E6A52"/>
    <w:rsid w:val="007F7B7E"/>
    <w:rsid w:val="00800BDF"/>
    <w:rsid w:val="00824D0D"/>
    <w:rsid w:val="00826AB2"/>
    <w:rsid w:val="008305FE"/>
    <w:rsid w:val="00831C01"/>
    <w:rsid w:val="00835018"/>
    <w:rsid w:val="008540BA"/>
    <w:rsid w:val="008603FF"/>
    <w:rsid w:val="00862F76"/>
    <w:rsid w:val="008673D3"/>
    <w:rsid w:val="0086780C"/>
    <w:rsid w:val="00876649"/>
    <w:rsid w:val="008814CC"/>
    <w:rsid w:val="00885885"/>
    <w:rsid w:val="0089301D"/>
    <w:rsid w:val="008A5224"/>
    <w:rsid w:val="008B4EE0"/>
    <w:rsid w:val="008C02F5"/>
    <w:rsid w:val="008D2BBC"/>
    <w:rsid w:val="008D2EB6"/>
    <w:rsid w:val="008D5EA4"/>
    <w:rsid w:val="008D7959"/>
    <w:rsid w:val="008F05BE"/>
    <w:rsid w:val="008F0B96"/>
    <w:rsid w:val="0090240C"/>
    <w:rsid w:val="00902F10"/>
    <w:rsid w:val="009066C7"/>
    <w:rsid w:val="009071F3"/>
    <w:rsid w:val="009128EF"/>
    <w:rsid w:val="0091367C"/>
    <w:rsid w:val="00915F63"/>
    <w:rsid w:val="0093238E"/>
    <w:rsid w:val="00937E74"/>
    <w:rsid w:val="00940F63"/>
    <w:rsid w:val="00941447"/>
    <w:rsid w:val="00942B8B"/>
    <w:rsid w:val="00952090"/>
    <w:rsid w:val="00952F3D"/>
    <w:rsid w:val="009530BB"/>
    <w:rsid w:val="0095489A"/>
    <w:rsid w:val="00955781"/>
    <w:rsid w:val="00966A4B"/>
    <w:rsid w:val="009872EA"/>
    <w:rsid w:val="00987C82"/>
    <w:rsid w:val="00992D43"/>
    <w:rsid w:val="009B32D2"/>
    <w:rsid w:val="009B3D29"/>
    <w:rsid w:val="009B42C8"/>
    <w:rsid w:val="009E3D68"/>
    <w:rsid w:val="009E7F68"/>
    <w:rsid w:val="009F1818"/>
    <w:rsid w:val="009F1E48"/>
    <w:rsid w:val="00A0506A"/>
    <w:rsid w:val="00A10EA2"/>
    <w:rsid w:val="00A12A0C"/>
    <w:rsid w:val="00A21E29"/>
    <w:rsid w:val="00A22EEB"/>
    <w:rsid w:val="00A24586"/>
    <w:rsid w:val="00A3725B"/>
    <w:rsid w:val="00A4222A"/>
    <w:rsid w:val="00A4524C"/>
    <w:rsid w:val="00A56796"/>
    <w:rsid w:val="00A56B16"/>
    <w:rsid w:val="00A61F6A"/>
    <w:rsid w:val="00A64143"/>
    <w:rsid w:val="00A65EE7"/>
    <w:rsid w:val="00A663DD"/>
    <w:rsid w:val="00A73023"/>
    <w:rsid w:val="00A75BC8"/>
    <w:rsid w:val="00A8016D"/>
    <w:rsid w:val="00A8409C"/>
    <w:rsid w:val="00A938D5"/>
    <w:rsid w:val="00A948F3"/>
    <w:rsid w:val="00A9515E"/>
    <w:rsid w:val="00A95330"/>
    <w:rsid w:val="00AA0240"/>
    <w:rsid w:val="00AA508A"/>
    <w:rsid w:val="00AB10A9"/>
    <w:rsid w:val="00AB5734"/>
    <w:rsid w:val="00AC0A40"/>
    <w:rsid w:val="00AD48EE"/>
    <w:rsid w:val="00AE3E43"/>
    <w:rsid w:val="00AE5AD9"/>
    <w:rsid w:val="00AF4A25"/>
    <w:rsid w:val="00AF5E55"/>
    <w:rsid w:val="00AF7720"/>
    <w:rsid w:val="00B00A60"/>
    <w:rsid w:val="00B00F12"/>
    <w:rsid w:val="00B103DE"/>
    <w:rsid w:val="00B26156"/>
    <w:rsid w:val="00B30284"/>
    <w:rsid w:val="00B31E74"/>
    <w:rsid w:val="00B34F24"/>
    <w:rsid w:val="00B433A5"/>
    <w:rsid w:val="00B46BE1"/>
    <w:rsid w:val="00B478C9"/>
    <w:rsid w:val="00B608FE"/>
    <w:rsid w:val="00B66341"/>
    <w:rsid w:val="00B756BB"/>
    <w:rsid w:val="00B7612C"/>
    <w:rsid w:val="00B80226"/>
    <w:rsid w:val="00B92D6B"/>
    <w:rsid w:val="00BB1087"/>
    <w:rsid w:val="00BC5729"/>
    <w:rsid w:val="00BD5758"/>
    <w:rsid w:val="00BE00BC"/>
    <w:rsid w:val="00BE0F0E"/>
    <w:rsid w:val="00BF20E9"/>
    <w:rsid w:val="00BF3C7D"/>
    <w:rsid w:val="00BF5110"/>
    <w:rsid w:val="00BF65BF"/>
    <w:rsid w:val="00C00ED3"/>
    <w:rsid w:val="00C02BEB"/>
    <w:rsid w:val="00C04FD1"/>
    <w:rsid w:val="00C06C6D"/>
    <w:rsid w:val="00C1144E"/>
    <w:rsid w:val="00C12852"/>
    <w:rsid w:val="00C14738"/>
    <w:rsid w:val="00C14D8B"/>
    <w:rsid w:val="00C20981"/>
    <w:rsid w:val="00C24A0D"/>
    <w:rsid w:val="00C274DB"/>
    <w:rsid w:val="00C27695"/>
    <w:rsid w:val="00C3293D"/>
    <w:rsid w:val="00C32DAE"/>
    <w:rsid w:val="00C343EB"/>
    <w:rsid w:val="00C40EAF"/>
    <w:rsid w:val="00C502D1"/>
    <w:rsid w:val="00C531BE"/>
    <w:rsid w:val="00C57242"/>
    <w:rsid w:val="00C60108"/>
    <w:rsid w:val="00C65C9A"/>
    <w:rsid w:val="00C65E0F"/>
    <w:rsid w:val="00C66E7D"/>
    <w:rsid w:val="00C71E27"/>
    <w:rsid w:val="00C74305"/>
    <w:rsid w:val="00C7510F"/>
    <w:rsid w:val="00C7582E"/>
    <w:rsid w:val="00C90000"/>
    <w:rsid w:val="00C95882"/>
    <w:rsid w:val="00CA3932"/>
    <w:rsid w:val="00CB483E"/>
    <w:rsid w:val="00CB4EA1"/>
    <w:rsid w:val="00CC517A"/>
    <w:rsid w:val="00CD4115"/>
    <w:rsid w:val="00CE4ADB"/>
    <w:rsid w:val="00CF4DCC"/>
    <w:rsid w:val="00D07B72"/>
    <w:rsid w:val="00D10EEF"/>
    <w:rsid w:val="00D14415"/>
    <w:rsid w:val="00D1773B"/>
    <w:rsid w:val="00D208EA"/>
    <w:rsid w:val="00D2326C"/>
    <w:rsid w:val="00D24F36"/>
    <w:rsid w:val="00D262B1"/>
    <w:rsid w:val="00D274DD"/>
    <w:rsid w:val="00D302B8"/>
    <w:rsid w:val="00D32F7E"/>
    <w:rsid w:val="00D33CE6"/>
    <w:rsid w:val="00D40588"/>
    <w:rsid w:val="00D4398E"/>
    <w:rsid w:val="00D43E3A"/>
    <w:rsid w:val="00D462F8"/>
    <w:rsid w:val="00D50F3F"/>
    <w:rsid w:val="00D51D78"/>
    <w:rsid w:val="00D56AEB"/>
    <w:rsid w:val="00D64ABE"/>
    <w:rsid w:val="00D679C8"/>
    <w:rsid w:val="00D70254"/>
    <w:rsid w:val="00D7245E"/>
    <w:rsid w:val="00D727AB"/>
    <w:rsid w:val="00D75F45"/>
    <w:rsid w:val="00D85A7E"/>
    <w:rsid w:val="00DA4D8D"/>
    <w:rsid w:val="00DA64DD"/>
    <w:rsid w:val="00DB4E11"/>
    <w:rsid w:val="00DB52EE"/>
    <w:rsid w:val="00DC4EBB"/>
    <w:rsid w:val="00DD67DA"/>
    <w:rsid w:val="00DD7739"/>
    <w:rsid w:val="00DE3381"/>
    <w:rsid w:val="00DE33F2"/>
    <w:rsid w:val="00E01293"/>
    <w:rsid w:val="00E01DD7"/>
    <w:rsid w:val="00E133AD"/>
    <w:rsid w:val="00E20C53"/>
    <w:rsid w:val="00E375AA"/>
    <w:rsid w:val="00E40BF0"/>
    <w:rsid w:val="00E42819"/>
    <w:rsid w:val="00E429C3"/>
    <w:rsid w:val="00E43FFA"/>
    <w:rsid w:val="00E45D04"/>
    <w:rsid w:val="00E50051"/>
    <w:rsid w:val="00E54AEF"/>
    <w:rsid w:val="00E607EE"/>
    <w:rsid w:val="00E718C1"/>
    <w:rsid w:val="00E75AC1"/>
    <w:rsid w:val="00E805DB"/>
    <w:rsid w:val="00E84B3B"/>
    <w:rsid w:val="00E87927"/>
    <w:rsid w:val="00E967EC"/>
    <w:rsid w:val="00EB0238"/>
    <w:rsid w:val="00EB50AB"/>
    <w:rsid w:val="00EC344E"/>
    <w:rsid w:val="00ED1880"/>
    <w:rsid w:val="00ED3873"/>
    <w:rsid w:val="00ED61CC"/>
    <w:rsid w:val="00ED7E2D"/>
    <w:rsid w:val="00EE0F59"/>
    <w:rsid w:val="00EE371F"/>
    <w:rsid w:val="00EE6112"/>
    <w:rsid w:val="00EE7BDC"/>
    <w:rsid w:val="00EE7D94"/>
    <w:rsid w:val="00F03871"/>
    <w:rsid w:val="00F03C83"/>
    <w:rsid w:val="00F1158E"/>
    <w:rsid w:val="00F11BBD"/>
    <w:rsid w:val="00F12726"/>
    <w:rsid w:val="00F1683F"/>
    <w:rsid w:val="00F17CC5"/>
    <w:rsid w:val="00F26697"/>
    <w:rsid w:val="00F36BA6"/>
    <w:rsid w:val="00F463E6"/>
    <w:rsid w:val="00F50150"/>
    <w:rsid w:val="00F5729A"/>
    <w:rsid w:val="00F57B5B"/>
    <w:rsid w:val="00F67B7D"/>
    <w:rsid w:val="00F71458"/>
    <w:rsid w:val="00F72559"/>
    <w:rsid w:val="00F72A97"/>
    <w:rsid w:val="00F73D6F"/>
    <w:rsid w:val="00F748D2"/>
    <w:rsid w:val="00F77D22"/>
    <w:rsid w:val="00FA4733"/>
    <w:rsid w:val="00FB4368"/>
    <w:rsid w:val="00FC1211"/>
    <w:rsid w:val="00FC3106"/>
    <w:rsid w:val="00FD03DD"/>
    <w:rsid w:val="00FD47C5"/>
    <w:rsid w:val="00FF77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Street"/>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73DE"/>
  </w:style>
  <w:style w:type="paragraph" w:styleId="Heading1">
    <w:name w:val="heading 1"/>
    <w:basedOn w:val="Normal"/>
    <w:next w:val="Normal"/>
    <w:qFormat/>
    <w:rsid w:val="001273DE"/>
    <w:pPr>
      <w:keepNext/>
      <w:spacing w:after="120"/>
      <w:ind w:left="634"/>
      <w:outlineLvl w:val="0"/>
    </w:pPr>
    <w:rPr>
      <w:sz w:val="28"/>
    </w:rPr>
  </w:style>
  <w:style w:type="paragraph" w:styleId="Heading2">
    <w:name w:val="heading 2"/>
    <w:basedOn w:val="Normal"/>
    <w:next w:val="Normal"/>
    <w:qFormat/>
    <w:rsid w:val="001273DE"/>
    <w:pPr>
      <w:keepNext/>
      <w:ind w:left="630"/>
      <w:outlineLvl w:val="1"/>
    </w:pPr>
    <w:rPr>
      <w:i/>
      <w:sz w:val="23"/>
    </w:rPr>
  </w:style>
  <w:style w:type="paragraph" w:styleId="Heading3">
    <w:name w:val="heading 3"/>
    <w:basedOn w:val="Normal"/>
    <w:next w:val="Normal"/>
    <w:qFormat/>
    <w:rsid w:val="001273DE"/>
    <w:pPr>
      <w:keepNext/>
      <w:jc w:val="center"/>
      <w:outlineLvl w:val="2"/>
    </w:pPr>
    <w:rPr>
      <w:sz w:val="28"/>
    </w:rPr>
  </w:style>
  <w:style w:type="paragraph" w:styleId="Heading4">
    <w:name w:val="heading 4"/>
    <w:basedOn w:val="Normal"/>
    <w:next w:val="Normal"/>
    <w:qFormat/>
    <w:rsid w:val="001273DE"/>
    <w:pPr>
      <w:keepNext/>
      <w:jc w:val="center"/>
      <w:outlineLvl w:val="3"/>
    </w:pPr>
    <w:rPr>
      <w:b/>
      <w:sz w:val="22"/>
    </w:rPr>
  </w:style>
  <w:style w:type="paragraph" w:styleId="Heading5">
    <w:name w:val="heading 5"/>
    <w:basedOn w:val="Normal"/>
    <w:next w:val="Normal"/>
    <w:qFormat/>
    <w:rsid w:val="001273DE"/>
    <w:pPr>
      <w:keepNext/>
      <w:spacing w:after="120"/>
      <w:ind w:left="720"/>
      <w:outlineLvl w:val="4"/>
    </w:pPr>
    <w:rPr>
      <w:b/>
      <w:sz w:val="22"/>
    </w:rPr>
  </w:style>
  <w:style w:type="paragraph" w:styleId="Heading6">
    <w:name w:val="heading 6"/>
    <w:basedOn w:val="Normal"/>
    <w:next w:val="Normal"/>
    <w:qFormat/>
    <w:rsid w:val="001273DE"/>
    <w:pPr>
      <w:keepNext/>
      <w:jc w:val="center"/>
      <w:outlineLvl w:val="5"/>
    </w:pPr>
    <w:rPr>
      <w:b/>
      <w:sz w:val="24"/>
    </w:rPr>
  </w:style>
  <w:style w:type="paragraph" w:styleId="Heading7">
    <w:name w:val="heading 7"/>
    <w:basedOn w:val="Normal"/>
    <w:next w:val="Normal"/>
    <w:qFormat/>
    <w:rsid w:val="001273DE"/>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1273DE"/>
    <w:pPr>
      <w:keepNext/>
      <w:spacing w:after="120"/>
      <w:outlineLvl w:val="7"/>
    </w:pPr>
    <w:rPr>
      <w:b/>
      <w:caps/>
      <w:sz w:val="22"/>
    </w:rPr>
  </w:style>
  <w:style w:type="paragraph" w:styleId="Heading9">
    <w:name w:val="heading 9"/>
    <w:basedOn w:val="Normal"/>
    <w:next w:val="Normal"/>
    <w:qFormat/>
    <w:rsid w:val="001273DE"/>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273DE"/>
    <w:rPr>
      <w:vertAlign w:val="superscript"/>
    </w:rPr>
  </w:style>
  <w:style w:type="paragraph" w:styleId="Header">
    <w:name w:val="header"/>
    <w:basedOn w:val="Normal"/>
    <w:rsid w:val="001273DE"/>
    <w:pPr>
      <w:tabs>
        <w:tab w:val="center" w:pos="4320"/>
        <w:tab w:val="right" w:pos="8640"/>
      </w:tabs>
    </w:pPr>
  </w:style>
  <w:style w:type="character" w:styleId="PageNumber">
    <w:name w:val="page number"/>
    <w:basedOn w:val="DefaultParagraphFont"/>
    <w:rsid w:val="001273DE"/>
  </w:style>
  <w:style w:type="paragraph" w:styleId="Footer">
    <w:name w:val="footer"/>
    <w:basedOn w:val="Normal"/>
    <w:rsid w:val="001273DE"/>
    <w:pPr>
      <w:tabs>
        <w:tab w:val="center" w:pos="4320"/>
        <w:tab w:val="right" w:pos="8640"/>
      </w:tabs>
    </w:pPr>
  </w:style>
  <w:style w:type="paragraph" w:styleId="BodyTextIndent">
    <w:name w:val="Body Text Indent"/>
    <w:basedOn w:val="Normal"/>
    <w:rsid w:val="001273DE"/>
    <w:pPr>
      <w:spacing w:after="120"/>
      <w:ind w:left="634"/>
    </w:pPr>
    <w:rPr>
      <w:sz w:val="24"/>
    </w:rPr>
  </w:style>
  <w:style w:type="paragraph" w:styleId="BodyTextIndent2">
    <w:name w:val="Body Text Indent 2"/>
    <w:basedOn w:val="Normal"/>
    <w:rsid w:val="001273DE"/>
    <w:pPr>
      <w:tabs>
        <w:tab w:val="left" w:pos="630"/>
      </w:tabs>
      <w:spacing w:after="120"/>
      <w:ind w:left="630"/>
    </w:pPr>
    <w:rPr>
      <w:sz w:val="24"/>
    </w:rPr>
  </w:style>
  <w:style w:type="paragraph" w:styleId="BodyTextIndent3">
    <w:name w:val="Body Text Indent 3"/>
    <w:basedOn w:val="Normal"/>
    <w:rsid w:val="001273DE"/>
    <w:pPr>
      <w:spacing w:before="240" w:after="120"/>
      <w:ind w:left="634"/>
      <w:jc w:val="center"/>
    </w:pPr>
    <w:rPr>
      <w:caps/>
      <w:sz w:val="24"/>
    </w:rPr>
  </w:style>
  <w:style w:type="paragraph" w:styleId="BodyText2">
    <w:name w:val="Body Text 2"/>
    <w:basedOn w:val="Normal"/>
    <w:rsid w:val="001273DE"/>
    <w:pPr>
      <w:numPr>
        <w:ilvl w:val="12"/>
      </w:numPr>
      <w:spacing w:after="120"/>
      <w:jc w:val="both"/>
    </w:pPr>
    <w:rPr>
      <w:sz w:val="22"/>
    </w:rPr>
  </w:style>
  <w:style w:type="paragraph" w:styleId="Title">
    <w:name w:val="Title"/>
    <w:basedOn w:val="Normal"/>
    <w:qFormat/>
    <w:rsid w:val="001273DE"/>
    <w:pPr>
      <w:jc w:val="center"/>
    </w:pPr>
    <w:rPr>
      <w:b/>
      <w:sz w:val="24"/>
    </w:rPr>
  </w:style>
  <w:style w:type="paragraph" w:styleId="BodyText">
    <w:name w:val="Body Text"/>
    <w:aliases w:val="SCA Body Text,SCA Body Text1,SCA Body Text2,SCA Body Text11,BodyText-JEA,BT-JEA"/>
    <w:basedOn w:val="Normal"/>
    <w:link w:val="BodyTextChar"/>
    <w:rsid w:val="001273DE"/>
    <w:pPr>
      <w:spacing w:after="120"/>
    </w:pPr>
    <w:rPr>
      <w:sz w:val="24"/>
    </w:rPr>
  </w:style>
  <w:style w:type="paragraph" w:styleId="BodyText3">
    <w:name w:val="Body Text 3"/>
    <w:basedOn w:val="Normal"/>
    <w:rsid w:val="001273DE"/>
    <w:pPr>
      <w:spacing w:before="120" w:after="120"/>
    </w:pPr>
    <w:rPr>
      <w:sz w:val="22"/>
    </w:rPr>
  </w:style>
  <w:style w:type="paragraph" w:customStyle="1" w:styleId="Style4">
    <w:name w:val="Style4"/>
    <w:next w:val="Normal"/>
    <w:rsid w:val="001273DE"/>
    <w:rPr>
      <w:noProof/>
      <w:sz w:val="24"/>
    </w:rPr>
  </w:style>
  <w:style w:type="paragraph" w:styleId="BlockText">
    <w:name w:val="Block Text"/>
    <w:basedOn w:val="Normal"/>
    <w:rsid w:val="001273DE"/>
    <w:pPr>
      <w:spacing w:after="120"/>
      <w:ind w:left="720" w:right="43"/>
      <w:jc w:val="both"/>
    </w:pPr>
    <w:rPr>
      <w:sz w:val="22"/>
    </w:rPr>
  </w:style>
  <w:style w:type="character" w:styleId="Hyperlink">
    <w:name w:val="Hyperlink"/>
    <w:basedOn w:val="DefaultParagraphFont"/>
    <w:rsid w:val="001273DE"/>
    <w:rPr>
      <w:color w:val="0000FF"/>
      <w:u w:val="single"/>
    </w:rPr>
  </w:style>
  <w:style w:type="paragraph" w:customStyle="1" w:styleId="SCATableHeading">
    <w:name w:val="SCA Table Heading"/>
    <w:basedOn w:val="Normal"/>
    <w:rsid w:val="001273DE"/>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table" w:styleId="TableGrid">
    <w:name w:val="Table Grid"/>
    <w:basedOn w:val="TableNormal"/>
    <w:rsid w:val="004760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4E6565"/>
    <w:rPr>
      <w:rFonts w:ascii="Tahoma" w:hAnsi="Tahoma" w:cs="Tahoma"/>
      <w:sz w:val="16"/>
      <w:szCs w:val="16"/>
    </w:rPr>
  </w:style>
  <w:style w:type="character" w:customStyle="1" w:styleId="BalloonTextChar">
    <w:name w:val="Balloon Text Char"/>
    <w:basedOn w:val="DefaultParagraphFont"/>
    <w:link w:val="BalloonText"/>
    <w:rsid w:val="004E6565"/>
    <w:rPr>
      <w:rFonts w:ascii="Tahoma" w:hAnsi="Tahoma" w:cs="Tahoma"/>
      <w:sz w:val="16"/>
      <w:szCs w:val="16"/>
    </w:rPr>
  </w:style>
  <w:style w:type="paragraph" w:styleId="ListParagraph">
    <w:name w:val="List Paragraph"/>
    <w:basedOn w:val="Normal"/>
    <w:uiPriority w:val="34"/>
    <w:qFormat/>
    <w:rsid w:val="00D302B8"/>
    <w:pPr>
      <w:spacing w:after="200" w:line="276" w:lineRule="auto"/>
      <w:ind w:left="720"/>
      <w:contextualSpacing/>
    </w:pPr>
    <w:rPr>
      <w:rFonts w:asciiTheme="minorHAnsi" w:eastAsiaTheme="minorHAnsi" w:hAnsiTheme="minorHAnsi" w:cstheme="minorBidi"/>
      <w:sz w:val="22"/>
      <w:szCs w:val="22"/>
    </w:rPr>
  </w:style>
  <w:style w:type="character" w:customStyle="1" w:styleId="BodyTextChar">
    <w:name w:val="Body Text Char"/>
    <w:aliases w:val="SCA Body Text Char,SCA Body Text1 Char,SCA Body Text2 Char,SCA Body Text11 Char,BodyText-JEA Char,BT-JEA Char"/>
    <w:link w:val="BodyText"/>
    <w:rsid w:val="00A56796"/>
    <w:rPr>
      <w:sz w:val="24"/>
    </w:rPr>
  </w:style>
  <w:style w:type="paragraph" w:styleId="Caption">
    <w:name w:val="caption"/>
    <w:basedOn w:val="Normal"/>
    <w:next w:val="Normal"/>
    <w:qFormat/>
    <w:rsid w:val="00A56796"/>
    <w:pPr>
      <w:spacing w:before="360" w:after="120"/>
    </w:pPr>
    <w:rPr>
      <w:b/>
      <w:caps/>
      <w:sz w:val="22"/>
    </w:rPr>
  </w:style>
</w:styles>
</file>

<file path=word/webSettings.xml><?xml version="1.0" encoding="utf-8"?>
<w:webSettings xmlns:r="http://schemas.openxmlformats.org/officeDocument/2006/relationships" xmlns:w="http://schemas.openxmlformats.org/wordprocessingml/2006/main">
  <w:divs>
    <w:div w:id="47537572">
      <w:bodyDiv w:val="1"/>
      <w:marLeft w:val="0"/>
      <w:marRight w:val="0"/>
      <w:marTop w:val="0"/>
      <w:marBottom w:val="0"/>
      <w:divBdr>
        <w:top w:val="none" w:sz="0" w:space="0" w:color="auto"/>
        <w:left w:val="none" w:sz="0" w:space="0" w:color="auto"/>
        <w:bottom w:val="none" w:sz="0" w:space="0" w:color="auto"/>
        <w:right w:val="none" w:sz="0" w:space="0" w:color="auto"/>
      </w:divBdr>
    </w:div>
    <w:div w:id="409934640">
      <w:bodyDiv w:val="1"/>
      <w:marLeft w:val="0"/>
      <w:marRight w:val="0"/>
      <w:marTop w:val="0"/>
      <w:marBottom w:val="0"/>
      <w:divBdr>
        <w:top w:val="none" w:sz="0" w:space="0" w:color="auto"/>
        <w:left w:val="none" w:sz="0" w:space="0" w:color="auto"/>
        <w:bottom w:val="none" w:sz="0" w:space="0" w:color="auto"/>
        <w:right w:val="none" w:sz="0" w:space="0" w:color="auto"/>
      </w:divBdr>
    </w:div>
    <w:div w:id="208722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avid.read@dep.state.fl.u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6B0AD-D53C-4EEF-A682-6E222E156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Pages>
  <Words>2125</Words>
  <Characters>11603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13701</CharactersWithSpaces>
  <SharedDoc>false</SharedDoc>
  <HLinks>
    <vt:vector size="6" baseType="variant">
      <vt:variant>
        <vt:i4>5963819</vt:i4>
      </vt:variant>
      <vt:variant>
        <vt:i4>0</vt:i4>
      </vt:variant>
      <vt:variant>
        <vt:i4>0</vt:i4>
      </vt:variant>
      <vt:variant>
        <vt:i4>5</vt:i4>
      </vt:variant>
      <vt:variant>
        <vt:lpwstr>mailto:marilyn.koletzke@dep.state.fl.us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lastModifiedBy>arif_s</cp:lastModifiedBy>
  <cp:revision>10</cp:revision>
  <cp:lastPrinted>2011-12-21T21:29:00Z</cp:lastPrinted>
  <dcterms:created xsi:type="dcterms:W3CDTF">2012-12-27T18:42:00Z</dcterms:created>
  <dcterms:modified xsi:type="dcterms:W3CDTF">2013-01-02T20:53:00Z</dcterms:modified>
</cp:coreProperties>
</file>